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0B4AD" w14:textId="5FD1A2F6" w:rsidR="004130F1" w:rsidRDefault="3CF62954" w:rsidP="3CF62954">
      <w:pPr>
        <w:pStyle w:val="Heading1"/>
        <w:jc w:val="center"/>
        <w:rPr>
          <w:rFonts w:asciiTheme="minorHAnsi" w:eastAsiaTheme="minorEastAsia" w:hAnsiTheme="minorHAnsi" w:cstheme="minorBidi"/>
          <w:b/>
          <w:bCs/>
          <w:sz w:val="24"/>
          <w:szCs w:val="24"/>
        </w:rPr>
      </w:pPr>
      <w:r w:rsidRPr="3CF62954">
        <w:rPr>
          <w:rFonts w:asciiTheme="minorHAnsi" w:eastAsiaTheme="minorEastAsia" w:hAnsiTheme="minorHAnsi" w:cstheme="minorBidi"/>
          <w:b/>
          <w:bCs/>
          <w:sz w:val="24"/>
          <w:szCs w:val="24"/>
        </w:rPr>
        <w:t>Primary Care Pharmacy Expert Advisory Group Agenda</w:t>
      </w:r>
    </w:p>
    <w:p w14:paraId="08659CC0" w14:textId="77777777" w:rsidR="00787DBB" w:rsidRPr="00787DBB" w:rsidRDefault="00787DBB" w:rsidP="7540FD09">
      <w:pPr>
        <w:rPr>
          <w:rFonts w:eastAsiaTheme="minorEastAsia"/>
          <w:sz w:val="24"/>
          <w:szCs w:val="24"/>
        </w:rPr>
      </w:pPr>
    </w:p>
    <w:p w14:paraId="615A5881" w14:textId="0340D40A" w:rsidR="00F12F89" w:rsidRDefault="7540FD09" w:rsidP="12D28305">
      <w:pPr>
        <w:spacing w:after="0"/>
        <w:rPr>
          <w:rFonts w:eastAsiaTheme="minorEastAsia"/>
          <w:b/>
          <w:bCs/>
          <w:sz w:val="24"/>
          <w:szCs w:val="24"/>
        </w:rPr>
      </w:pPr>
      <w:r w:rsidRPr="7540FD09">
        <w:rPr>
          <w:rFonts w:eastAsiaTheme="minorEastAsia"/>
          <w:b/>
          <w:bCs/>
          <w:sz w:val="24"/>
          <w:szCs w:val="24"/>
        </w:rPr>
        <w:t xml:space="preserve">Tuesday </w:t>
      </w:r>
      <w:r w:rsidR="0007726C">
        <w:rPr>
          <w:rFonts w:eastAsiaTheme="minorEastAsia"/>
          <w:b/>
          <w:bCs/>
          <w:sz w:val="24"/>
          <w:szCs w:val="24"/>
        </w:rPr>
        <w:t>10 September</w:t>
      </w:r>
      <w:r w:rsidR="000B22F5">
        <w:rPr>
          <w:rFonts w:eastAsiaTheme="minorEastAsia"/>
          <w:b/>
          <w:bCs/>
          <w:sz w:val="24"/>
          <w:szCs w:val="24"/>
        </w:rPr>
        <w:t xml:space="preserve"> 2024 </w:t>
      </w:r>
    </w:p>
    <w:p w14:paraId="236F253E" w14:textId="77777777" w:rsidR="00295EB3" w:rsidRDefault="00295EB3" w:rsidP="12D28305">
      <w:pPr>
        <w:spacing w:after="0"/>
        <w:rPr>
          <w:rFonts w:eastAsiaTheme="minorEastAsia"/>
          <w:sz w:val="24"/>
          <w:szCs w:val="24"/>
        </w:rPr>
      </w:pPr>
    </w:p>
    <w:p w14:paraId="492852CC" w14:textId="024D6FD7" w:rsidR="00F12F89" w:rsidRPr="00F12F89" w:rsidRDefault="00F12F89" w:rsidP="00F12F89">
      <w:pPr>
        <w:spacing w:after="0"/>
        <w:rPr>
          <w:rFonts w:eastAsiaTheme="minorEastAsia"/>
          <w:sz w:val="24"/>
          <w:szCs w:val="24"/>
        </w:rPr>
      </w:pPr>
      <w:r w:rsidRPr="00F12F89">
        <w:rPr>
          <w:rFonts w:eastAsiaTheme="minorEastAsia"/>
          <w:b/>
          <w:bCs/>
          <w:sz w:val="24"/>
          <w:szCs w:val="24"/>
        </w:rPr>
        <w:t>Attendees</w:t>
      </w:r>
      <w:r w:rsidRPr="00F12F89">
        <w:rPr>
          <w:rFonts w:eastAsiaTheme="minorEastAsia"/>
          <w:sz w:val="24"/>
          <w:szCs w:val="24"/>
        </w:rPr>
        <w:t xml:space="preserve">:  Anne Thomson, Jennifer Weston, Kamaljit Takhar, Rosie Furner, Danny Bartlett, </w:t>
      </w:r>
      <w:r>
        <w:rPr>
          <w:rFonts w:eastAsiaTheme="minorEastAsia"/>
          <w:sz w:val="24"/>
          <w:szCs w:val="24"/>
        </w:rPr>
        <w:t>Shasta Chimhau,</w:t>
      </w:r>
      <w:r w:rsidRPr="00F12F89">
        <w:rPr>
          <w:rFonts w:eastAsiaTheme="minorEastAsia"/>
          <w:sz w:val="24"/>
          <w:szCs w:val="24"/>
        </w:rPr>
        <w:t xml:space="preserve"> Kemi Gibson, Hadeel Mohamed, </w:t>
      </w:r>
      <w:r>
        <w:rPr>
          <w:rFonts w:eastAsiaTheme="minorEastAsia"/>
          <w:sz w:val="24"/>
          <w:szCs w:val="24"/>
        </w:rPr>
        <w:t xml:space="preserve">Aiysha Kaoof, Richard Shearer, </w:t>
      </w:r>
      <w:r w:rsidRPr="00F12F89">
        <w:rPr>
          <w:rFonts w:eastAsiaTheme="minorEastAsia"/>
          <w:sz w:val="24"/>
          <w:szCs w:val="24"/>
        </w:rPr>
        <w:t>Heidi Wright, Yvonne Dennington (note taker)</w:t>
      </w:r>
    </w:p>
    <w:p w14:paraId="2AFD28FD" w14:textId="48C3CEF1" w:rsidR="00F12F89" w:rsidRPr="00F12F89" w:rsidRDefault="00F12F89" w:rsidP="00F12F89">
      <w:pPr>
        <w:spacing w:after="0"/>
        <w:rPr>
          <w:rFonts w:eastAsiaTheme="minorEastAsia"/>
          <w:sz w:val="24"/>
          <w:szCs w:val="24"/>
        </w:rPr>
      </w:pPr>
      <w:r w:rsidRPr="00F12F89">
        <w:rPr>
          <w:rFonts w:eastAsiaTheme="minorEastAsia"/>
          <w:b/>
          <w:bCs/>
          <w:sz w:val="24"/>
          <w:szCs w:val="24"/>
        </w:rPr>
        <w:t>Observers:</w:t>
      </w:r>
      <w:r w:rsidRPr="00F12F89">
        <w:rPr>
          <w:rFonts w:eastAsiaTheme="minorEastAsia"/>
          <w:sz w:val="24"/>
          <w:szCs w:val="24"/>
        </w:rPr>
        <w:t xml:space="preserve"> </w:t>
      </w:r>
      <w:r>
        <w:rPr>
          <w:rFonts w:eastAsiaTheme="minorEastAsia"/>
          <w:sz w:val="24"/>
          <w:szCs w:val="24"/>
        </w:rPr>
        <w:t>Kim Neilsson Elemenmyr, Amrita Sandhu</w:t>
      </w:r>
      <w:r w:rsidRPr="00F12F89">
        <w:rPr>
          <w:rFonts w:eastAsiaTheme="minorEastAsia"/>
          <w:sz w:val="24"/>
          <w:szCs w:val="24"/>
        </w:rPr>
        <w:t xml:space="preserve"> </w:t>
      </w:r>
      <w:r>
        <w:rPr>
          <w:rFonts w:eastAsiaTheme="minorEastAsia"/>
          <w:sz w:val="24"/>
          <w:szCs w:val="24"/>
        </w:rPr>
        <w:t xml:space="preserve">, Sian Williams, </w:t>
      </w:r>
    </w:p>
    <w:p w14:paraId="4D1A3352" w14:textId="7FFEA805" w:rsidR="00F12F89" w:rsidRDefault="00F12F89" w:rsidP="00F12F89">
      <w:pPr>
        <w:spacing w:after="0"/>
        <w:rPr>
          <w:rFonts w:eastAsiaTheme="minorEastAsia"/>
          <w:sz w:val="24"/>
          <w:szCs w:val="24"/>
        </w:rPr>
      </w:pPr>
      <w:r w:rsidRPr="00F12F89">
        <w:rPr>
          <w:rFonts w:eastAsiaTheme="minorEastAsia"/>
          <w:b/>
          <w:bCs/>
          <w:sz w:val="24"/>
          <w:szCs w:val="24"/>
        </w:rPr>
        <w:t>Guests:</w:t>
      </w:r>
      <w:r w:rsidRPr="00F12F89">
        <w:rPr>
          <w:rFonts w:eastAsiaTheme="minorEastAsia"/>
          <w:sz w:val="24"/>
          <w:szCs w:val="24"/>
        </w:rPr>
        <w:t xml:space="preserve">  , Fiona McIntyre, </w:t>
      </w:r>
      <w:r>
        <w:rPr>
          <w:rFonts w:eastAsiaTheme="minorEastAsia"/>
          <w:sz w:val="24"/>
          <w:szCs w:val="24"/>
        </w:rPr>
        <w:t>Kate Ryan</w:t>
      </w:r>
    </w:p>
    <w:p w14:paraId="66FED9AB" w14:textId="573BEDD4" w:rsidR="00F12F89" w:rsidRPr="00F12F89" w:rsidRDefault="00884BFD" w:rsidP="00F12F89">
      <w:pPr>
        <w:spacing w:after="0"/>
        <w:rPr>
          <w:rFonts w:eastAsiaTheme="minorEastAsia"/>
          <w:sz w:val="24"/>
          <w:szCs w:val="24"/>
        </w:rPr>
      </w:pPr>
      <w:r>
        <w:rPr>
          <w:rFonts w:eastAsiaTheme="minorEastAsia"/>
          <w:b/>
          <w:bCs/>
          <w:sz w:val="24"/>
          <w:szCs w:val="24"/>
        </w:rPr>
        <w:t>Apologies</w:t>
      </w:r>
      <w:r w:rsidR="00F12F89">
        <w:rPr>
          <w:rFonts w:eastAsiaTheme="minorEastAsia"/>
          <w:sz w:val="24"/>
          <w:szCs w:val="24"/>
        </w:rPr>
        <w:t xml:space="preserve">  Graham Stretch, Helen Kilminster, Raj Bajwa, Claire Huckerby</w:t>
      </w:r>
    </w:p>
    <w:p w14:paraId="09F00B55" w14:textId="323CFD88" w:rsidR="12D28305" w:rsidRDefault="12D28305" w:rsidP="12D28305">
      <w:pPr>
        <w:spacing w:after="0"/>
        <w:rPr>
          <w:rFonts w:eastAsiaTheme="minorEastAsia"/>
          <w:sz w:val="24"/>
          <w:szCs w:val="24"/>
        </w:rPr>
      </w:pPr>
    </w:p>
    <w:p w14:paraId="45DB1BC4" w14:textId="385A72FE" w:rsidR="00854AC4" w:rsidRPr="00854AC4" w:rsidRDefault="00854AC4" w:rsidP="7FE6131F">
      <w:pPr>
        <w:spacing w:after="0"/>
        <w:rPr>
          <w:rFonts w:eastAsiaTheme="minorEastAsia"/>
          <w:sz w:val="24"/>
          <w:szCs w:val="24"/>
        </w:rPr>
      </w:pPr>
    </w:p>
    <w:p w14:paraId="671EF214" w14:textId="7B3DC1E7" w:rsidR="004130F1" w:rsidRPr="004130F1" w:rsidRDefault="5A8CE91A" w:rsidP="004130F1">
      <w:pPr>
        <w:pStyle w:val="Heading2"/>
        <w:pBdr>
          <w:bottom w:val="single" w:sz="4" w:space="1" w:color="auto"/>
        </w:pBdr>
        <w:shd w:val="clear" w:color="auto" w:fill="DEEAF6" w:themeFill="accent5" w:themeFillTint="33"/>
        <w:rPr>
          <w:b/>
          <w:bCs/>
          <w:color w:val="000000" w:themeColor="text1"/>
        </w:rPr>
      </w:pPr>
      <w:r w:rsidRPr="5A8CE91A">
        <w:rPr>
          <w:b/>
          <w:bCs/>
          <w:color w:val="000000" w:themeColor="text1"/>
        </w:rPr>
        <w:t>1: Welcome, Apologies and introduction (10 mins) -  Anne Thomson</w:t>
      </w:r>
    </w:p>
    <w:tbl>
      <w:tblPr>
        <w:tblStyle w:val="TableGrid"/>
        <w:tblW w:w="9016" w:type="dxa"/>
        <w:tblLook w:val="04A0" w:firstRow="1" w:lastRow="0" w:firstColumn="1" w:lastColumn="0" w:noHBand="0" w:noVBand="1"/>
      </w:tblPr>
      <w:tblGrid>
        <w:gridCol w:w="1365"/>
        <w:gridCol w:w="7651"/>
      </w:tblGrid>
      <w:tr w:rsidR="000A0C1D" w:rsidRPr="004237B3" w14:paraId="6A72F8F9" w14:textId="77777777" w:rsidTr="1CEEC284">
        <w:trPr>
          <w:trHeight w:val="273"/>
        </w:trPr>
        <w:tc>
          <w:tcPr>
            <w:tcW w:w="1365" w:type="dxa"/>
          </w:tcPr>
          <w:p w14:paraId="2CC930B5" w14:textId="77777777" w:rsidR="000A0C1D" w:rsidRPr="004237B3" w:rsidRDefault="000A0C1D" w:rsidP="008805EB">
            <w:pPr>
              <w:rPr>
                <w:b/>
                <w:bCs/>
              </w:rPr>
            </w:pPr>
            <w:r w:rsidRPr="004237B3">
              <w:rPr>
                <w:b/>
                <w:bCs/>
              </w:rPr>
              <w:t>Description</w:t>
            </w:r>
          </w:p>
        </w:tc>
        <w:tc>
          <w:tcPr>
            <w:tcW w:w="7651" w:type="dxa"/>
          </w:tcPr>
          <w:p w14:paraId="76F60891" w14:textId="0D480EE3" w:rsidR="007510AD" w:rsidRDefault="1CEEC284" w:rsidP="00782D7B">
            <w:r>
              <w:t>To welcome, note apologies and introduction to the content of the meeting</w:t>
            </w:r>
          </w:p>
          <w:p w14:paraId="3D5E6C71" w14:textId="459818A3" w:rsidR="00782D7B" w:rsidRPr="00782D7B" w:rsidRDefault="00782D7B" w:rsidP="00782D7B">
            <w:pPr>
              <w:rPr>
                <w:rFonts w:cstheme="minorHAnsi"/>
              </w:rPr>
            </w:pPr>
          </w:p>
        </w:tc>
      </w:tr>
      <w:tr w:rsidR="000A0C1D" w:rsidRPr="007C0870" w14:paraId="71C4A3D0" w14:textId="77777777" w:rsidTr="1CEEC284">
        <w:trPr>
          <w:trHeight w:val="638"/>
        </w:trPr>
        <w:tc>
          <w:tcPr>
            <w:tcW w:w="1365" w:type="dxa"/>
          </w:tcPr>
          <w:p w14:paraId="57C66510" w14:textId="77777777" w:rsidR="000A0C1D" w:rsidRPr="004237B3" w:rsidRDefault="000A0C1D" w:rsidP="008805EB">
            <w:pPr>
              <w:rPr>
                <w:b/>
                <w:bCs/>
              </w:rPr>
            </w:pPr>
            <w:r w:rsidRPr="004237B3">
              <w:rPr>
                <w:b/>
                <w:bCs/>
              </w:rPr>
              <w:t>Purpose</w:t>
            </w:r>
          </w:p>
        </w:tc>
        <w:tc>
          <w:tcPr>
            <w:tcW w:w="7651" w:type="dxa"/>
          </w:tcPr>
          <w:p w14:paraId="711FF345" w14:textId="1204FC10" w:rsidR="006F15D8" w:rsidRPr="00FD5136" w:rsidRDefault="00DE19B1" w:rsidP="00DE19B1">
            <w:pPr>
              <w:rPr>
                <w:rFonts w:cstheme="minorHAnsi"/>
              </w:rPr>
            </w:pPr>
            <w:r>
              <w:rPr>
                <w:rFonts w:cstheme="minorHAnsi"/>
              </w:rPr>
              <w:t>To r</w:t>
            </w:r>
            <w:r w:rsidR="00070D06">
              <w:rPr>
                <w:rFonts w:cstheme="minorHAnsi"/>
              </w:rPr>
              <w:t xml:space="preserve">aise any matters arising </w:t>
            </w:r>
          </w:p>
        </w:tc>
      </w:tr>
      <w:tr w:rsidR="000A0C1D" w:rsidRPr="000C7A2D" w14:paraId="3BE1B3B7" w14:textId="77777777" w:rsidTr="1CEEC284">
        <w:trPr>
          <w:trHeight w:val="568"/>
        </w:trPr>
        <w:tc>
          <w:tcPr>
            <w:tcW w:w="1365" w:type="dxa"/>
          </w:tcPr>
          <w:p w14:paraId="1FCD453F" w14:textId="77777777" w:rsidR="000A0C1D" w:rsidRPr="004237B3" w:rsidRDefault="000A0C1D" w:rsidP="008805EB">
            <w:pPr>
              <w:rPr>
                <w:b/>
                <w:bCs/>
              </w:rPr>
            </w:pPr>
            <w:r w:rsidRPr="004237B3">
              <w:rPr>
                <w:b/>
                <w:bCs/>
              </w:rPr>
              <w:t>Outcomes</w:t>
            </w:r>
          </w:p>
        </w:tc>
        <w:tc>
          <w:tcPr>
            <w:tcW w:w="7651" w:type="dxa"/>
          </w:tcPr>
          <w:p w14:paraId="794D48BB" w14:textId="77777777" w:rsidR="00884BFD" w:rsidRPr="00295EB3" w:rsidRDefault="00884BFD" w:rsidP="008805EB">
            <w:r w:rsidRPr="00295EB3">
              <w:t xml:space="preserve">The Chair welcomed all to the meeting.  </w:t>
            </w:r>
          </w:p>
          <w:p w14:paraId="2FBB029C" w14:textId="3C32860C" w:rsidR="000A0C1D" w:rsidRPr="00295EB3" w:rsidRDefault="00F12F89" w:rsidP="008805EB">
            <w:pPr>
              <w:rPr>
                <w:rFonts w:eastAsiaTheme="minorEastAsia"/>
              </w:rPr>
            </w:pPr>
            <w:r w:rsidRPr="00295EB3">
              <w:t xml:space="preserve">Apologies were received from </w:t>
            </w:r>
            <w:r w:rsidRPr="00295EB3">
              <w:rPr>
                <w:rFonts w:eastAsiaTheme="minorEastAsia"/>
              </w:rPr>
              <w:t>Graham Stretch, Helen Kilminster, Raj Bajwa, Claire Huckerby.</w:t>
            </w:r>
          </w:p>
          <w:p w14:paraId="605F3552" w14:textId="77777777" w:rsidR="00F12F89" w:rsidRPr="00295EB3" w:rsidRDefault="00F12F89" w:rsidP="008805EB"/>
          <w:p w14:paraId="58BF8E62" w14:textId="77777777" w:rsidR="00F12F89" w:rsidRPr="00295EB3" w:rsidRDefault="00F12F89" w:rsidP="008805EB">
            <w:r w:rsidRPr="00295EB3">
              <w:t>Hadeel Mohamed agreed to record the video after this meeting and Danny Bartlett agreed to record the video for the next meeting.</w:t>
            </w:r>
          </w:p>
          <w:p w14:paraId="20E63DE8" w14:textId="03A17D64" w:rsidR="00295EB3" w:rsidRPr="00295EB3" w:rsidRDefault="00295EB3" w:rsidP="008805EB"/>
        </w:tc>
      </w:tr>
    </w:tbl>
    <w:p w14:paraId="0093F6FC" w14:textId="27EF9195" w:rsidR="3CF62954" w:rsidRDefault="3CF62954" w:rsidP="3B33032E">
      <w:pPr>
        <w:spacing w:after="0"/>
      </w:pPr>
    </w:p>
    <w:p w14:paraId="7EA6895E" w14:textId="328AC1E2" w:rsidR="00355A75" w:rsidRDefault="00355A75" w:rsidP="00355A75">
      <w:pPr>
        <w:pStyle w:val="Heading2"/>
        <w:shd w:val="clear" w:color="auto" w:fill="DEEAF6" w:themeFill="accent5" w:themeFillTint="33"/>
        <w:rPr>
          <w:b/>
          <w:bCs/>
          <w:color w:val="000000" w:themeColor="text1"/>
          <w:lang w:val="fr-FR"/>
        </w:rPr>
      </w:pPr>
      <w:r>
        <w:rPr>
          <w:b/>
          <w:bCs/>
          <w:color w:val="000000" w:themeColor="text1"/>
          <w:lang w:val="fr-FR"/>
        </w:rPr>
        <w:t>2</w:t>
      </w:r>
      <w:r w:rsidRPr="7B5E0B07">
        <w:rPr>
          <w:b/>
          <w:bCs/>
          <w:color w:val="000000" w:themeColor="text1"/>
          <w:lang w:val="fr-FR"/>
        </w:rPr>
        <w:t>:</w:t>
      </w:r>
      <w:r w:rsidR="00D219DE">
        <w:rPr>
          <w:b/>
          <w:bCs/>
          <w:color w:val="000000" w:themeColor="text1"/>
          <w:lang w:val="fr-FR"/>
        </w:rPr>
        <w:t xml:space="preserve"> </w:t>
      </w:r>
      <w:r w:rsidR="000B22F5">
        <w:rPr>
          <w:b/>
          <w:bCs/>
          <w:color w:val="000000" w:themeColor="text1"/>
          <w:lang w:val="fr-FR"/>
        </w:rPr>
        <w:t xml:space="preserve">Update on Country Teams </w:t>
      </w:r>
      <w:r w:rsidR="00D219DE">
        <w:rPr>
          <w:b/>
          <w:bCs/>
          <w:color w:val="000000" w:themeColor="text1"/>
          <w:lang w:val="fr-FR"/>
        </w:rPr>
        <w:t>priorities</w:t>
      </w:r>
      <w:r w:rsidR="000B22F5">
        <w:rPr>
          <w:b/>
          <w:bCs/>
          <w:color w:val="000000" w:themeColor="text1"/>
          <w:lang w:val="fr-FR"/>
        </w:rPr>
        <w:t xml:space="preserve"> for 2024 (</w:t>
      </w:r>
      <w:r w:rsidR="0007726C">
        <w:rPr>
          <w:b/>
          <w:bCs/>
          <w:color w:val="000000" w:themeColor="text1"/>
          <w:lang w:val="fr-FR"/>
        </w:rPr>
        <w:t>2</w:t>
      </w:r>
      <w:r w:rsidR="00A9542E">
        <w:rPr>
          <w:b/>
          <w:bCs/>
          <w:color w:val="000000" w:themeColor="text1"/>
          <w:lang w:val="fr-FR"/>
        </w:rPr>
        <w:t>0</w:t>
      </w:r>
      <w:r w:rsidR="000B22F5">
        <w:rPr>
          <w:b/>
          <w:bCs/>
          <w:color w:val="000000" w:themeColor="text1"/>
          <w:lang w:val="fr-FR"/>
        </w:rPr>
        <w:t xml:space="preserve"> mins) – Heidi Wright</w:t>
      </w:r>
    </w:p>
    <w:tbl>
      <w:tblPr>
        <w:tblStyle w:val="TableGrid"/>
        <w:tblW w:w="9016" w:type="dxa"/>
        <w:tblLook w:val="04A0" w:firstRow="1" w:lastRow="0" w:firstColumn="1" w:lastColumn="0" w:noHBand="0" w:noVBand="1"/>
      </w:tblPr>
      <w:tblGrid>
        <w:gridCol w:w="1335"/>
        <w:gridCol w:w="7681"/>
      </w:tblGrid>
      <w:tr w:rsidR="00355A75" w14:paraId="26AA39DB" w14:textId="77777777" w:rsidTr="2BD831D1">
        <w:trPr>
          <w:trHeight w:val="1065"/>
        </w:trPr>
        <w:tc>
          <w:tcPr>
            <w:tcW w:w="1335" w:type="dxa"/>
          </w:tcPr>
          <w:p w14:paraId="391F4A33" w14:textId="77777777" w:rsidR="00355A75" w:rsidRDefault="00355A75" w:rsidP="00185577">
            <w:pPr>
              <w:rPr>
                <w:b/>
                <w:bCs/>
              </w:rPr>
            </w:pPr>
            <w:r w:rsidRPr="7B5E0B07">
              <w:rPr>
                <w:b/>
                <w:bCs/>
              </w:rPr>
              <w:t>Descripti</w:t>
            </w:r>
            <w:r>
              <w:rPr>
                <w:b/>
                <w:bCs/>
              </w:rPr>
              <w:t>on</w:t>
            </w:r>
          </w:p>
        </w:tc>
        <w:tc>
          <w:tcPr>
            <w:tcW w:w="7681" w:type="dxa"/>
          </w:tcPr>
          <w:p w14:paraId="5ACCEAFD" w14:textId="77777777" w:rsidR="00355A75" w:rsidRDefault="00D40F08" w:rsidP="00185577">
            <w:pPr>
              <w:rPr>
                <w:rFonts w:cstheme="minorHAnsi"/>
              </w:rPr>
            </w:pPr>
            <w:r>
              <w:rPr>
                <w:rFonts w:cstheme="minorHAnsi"/>
              </w:rPr>
              <w:t xml:space="preserve">RPS </w:t>
            </w:r>
            <w:r w:rsidR="000B22F5">
              <w:rPr>
                <w:rFonts w:cstheme="minorHAnsi"/>
              </w:rPr>
              <w:t>Country Teams have developed a GB workplan informed by the priorities set out by the National Pharmacy Boards.</w:t>
            </w:r>
            <w:r w:rsidR="00A9542E">
              <w:rPr>
                <w:rFonts w:cstheme="minorHAnsi"/>
              </w:rPr>
              <w:t xml:space="preserve"> This includes AI, Digital Capabilities, Medicines Shortages, Gender Incongruence and Palliative Care</w:t>
            </w:r>
            <w:r w:rsidR="0007726C">
              <w:rPr>
                <w:rFonts w:cstheme="minorHAnsi"/>
              </w:rPr>
              <w:t>. Also an update on Repeat Prescribing Toolkit</w:t>
            </w:r>
          </w:p>
          <w:p w14:paraId="006E6876" w14:textId="157F6F91" w:rsidR="0007726C" w:rsidRPr="00EC1F3D" w:rsidRDefault="0007726C" w:rsidP="00185577">
            <w:pPr>
              <w:rPr>
                <w:rFonts w:cstheme="minorHAnsi"/>
              </w:rPr>
            </w:pPr>
          </w:p>
        </w:tc>
      </w:tr>
      <w:tr w:rsidR="00355A75" w14:paraId="3B8AE57A" w14:textId="77777777" w:rsidTr="2BD831D1">
        <w:trPr>
          <w:trHeight w:val="638"/>
        </w:trPr>
        <w:tc>
          <w:tcPr>
            <w:tcW w:w="1335" w:type="dxa"/>
          </w:tcPr>
          <w:p w14:paraId="6B7A48DE" w14:textId="77777777" w:rsidR="00355A75" w:rsidRDefault="00355A75" w:rsidP="00185577">
            <w:pPr>
              <w:rPr>
                <w:b/>
                <w:bCs/>
              </w:rPr>
            </w:pPr>
            <w:r w:rsidRPr="7B5E0B07">
              <w:rPr>
                <w:b/>
                <w:bCs/>
              </w:rPr>
              <w:t>Purpose</w:t>
            </w:r>
          </w:p>
        </w:tc>
        <w:tc>
          <w:tcPr>
            <w:tcW w:w="7681" w:type="dxa"/>
          </w:tcPr>
          <w:p w14:paraId="4D4A6ED6" w14:textId="3514D49C" w:rsidR="00355A75" w:rsidRDefault="000B22F5" w:rsidP="00185577">
            <w:pPr>
              <w:pStyle w:val="ListParagraph"/>
              <w:ind w:left="0"/>
            </w:pPr>
            <w:r>
              <w:t xml:space="preserve">To </w:t>
            </w:r>
            <w:r w:rsidR="00911673">
              <w:t xml:space="preserve">provide a short update on the policy areas </w:t>
            </w:r>
            <w:r w:rsidR="00D741C7">
              <w:t xml:space="preserve">and guidance </w:t>
            </w:r>
            <w:r w:rsidR="00911673">
              <w:t>RPS are working on</w:t>
            </w:r>
          </w:p>
        </w:tc>
      </w:tr>
      <w:tr w:rsidR="00355A75" w14:paraId="156F560F" w14:textId="77777777" w:rsidTr="2BD831D1">
        <w:trPr>
          <w:trHeight w:val="568"/>
        </w:trPr>
        <w:tc>
          <w:tcPr>
            <w:tcW w:w="1335" w:type="dxa"/>
          </w:tcPr>
          <w:p w14:paraId="5A925C13" w14:textId="77777777" w:rsidR="00355A75" w:rsidRDefault="00355A75" w:rsidP="00185577">
            <w:pPr>
              <w:rPr>
                <w:b/>
                <w:bCs/>
              </w:rPr>
            </w:pPr>
            <w:r w:rsidRPr="7B5E0B07">
              <w:rPr>
                <w:b/>
                <w:bCs/>
              </w:rPr>
              <w:t>Outcomes</w:t>
            </w:r>
          </w:p>
        </w:tc>
        <w:tc>
          <w:tcPr>
            <w:tcW w:w="7681" w:type="dxa"/>
          </w:tcPr>
          <w:p w14:paraId="296A82FA" w14:textId="77777777" w:rsidR="00355A75" w:rsidRPr="00295EB3" w:rsidRDefault="00F12F89" w:rsidP="00185577">
            <w:pPr>
              <w:rPr>
                <w:rFonts w:ascii="Calibri" w:eastAsia="Calibri" w:hAnsi="Calibri" w:cs="Calibri"/>
              </w:rPr>
            </w:pPr>
            <w:r w:rsidRPr="00295EB3">
              <w:rPr>
                <w:rFonts w:ascii="Calibri" w:eastAsia="Calibri" w:hAnsi="Calibri" w:cs="Calibri"/>
              </w:rPr>
              <w:t>HW gave an update on the priorities:-</w:t>
            </w:r>
          </w:p>
          <w:p w14:paraId="5BD29ED0" w14:textId="3327AF98" w:rsidR="00F12F89" w:rsidRDefault="00F12F89" w:rsidP="00185577">
            <w:pPr>
              <w:rPr>
                <w:rFonts w:ascii="Calibri" w:eastAsia="Calibri" w:hAnsi="Calibri" w:cs="Calibri"/>
              </w:rPr>
            </w:pPr>
            <w:r w:rsidRPr="00295EB3">
              <w:rPr>
                <w:rFonts w:ascii="Calibri" w:eastAsia="Calibri" w:hAnsi="Calibri" w:cs="Calibri"/>
                <w:b/>
                <w:bCs/>
              </w:rPr>
              <w:t>Digital Capabilities position statement</w:t>
            </w:r>
            <w:r w:rsidRPr="00295EB3">
              <w:rPr>
                <w:rFonts w:ascii="Calibri" w:eastAsia="Calibri" w:hAnsi="Calibri" w:cs="Calibri"/>
              </w:rPr>
              <w:t xml:space="preserve"> – The group were thanked for their comment</w:t>
            </w:r>
            <w:r w:rsidR="00CF6E57" w:rsidRPr="00295EB3">
              <w:rPr>
                <w:rFonts w:ascii="Calibri" w:eastAsia="Calibri" w:hAnsi="Calibri" w:cs="Calibri"/>
              </w:rPr>
              <w:t xml:space="preserve">s.  Comments were also received from National Board Members and other EAGs.  The statement will be published to the end of September/early October.  Recommendations call for – inclusion in </w:t>
            </w:r>
            <w:r w:rsidR="00295EB3" w:rsidRPr="00295EB3">
              <w:rPr>
                <w:rFonts w:ascii="Calibri" w:eastAsia="Calibri" w:hAnsi="Calibri" w:cs="Calibri"/>
              </w:rPr>
              <w:t>undergraduate</w:t>
            </w:r>
            <w:r w:rsidR="00CF6E57" w:rsidRPr="00295EB3">
              <w:rPr>
                <w:rFonts w:ascii="Calibri" w:eastAsia="Calibri" w:hAnsi="Calibri" w:cs="Calibri"/>
              </w:rPr>
              <w:t xml:space="preserve"> courses, continued learning, support for new services and research. This statement ties in closely with AI.  More work will follow on from this statement in 2025.</w:t>
            </w:r>
          </w:p>
          <w:p w14:paraId="45455786" w14:textId="77777777" w:rsidR="00295EB3" w:rsidRPr="00295EB3" w:rsidRDefault="00295EB3" w:rsidP="00185577">
            <w:pPr>
              <w:rPr>
                <w:rFonts w:ascii="Calibri" w:eastAsia="Calibri" w:hAnsi="Calibri" w:cs="Calibri"/>
              </w:rPr>
            </w:pPr>
          </w:p>
          <w:p w14:paraId="4026DD53" w14:textId="37B44259" w:rsidR="00CF6E57" w:rsidRDefault="00CF6E57" w:rsidP="00185577">
            <w:pPr>
              <w:rPr>
                <w:rFonts w:ascii="Calibri" w:eastAsia="Calibri" w:hAnsi="Calibri" w:cs="Calibri"/>
              </w:rPr>
            </w:pPr>
            <w:r w:rsidRPr="00295EB3">
              <w:rPr>
                <w:rFonts w:ascii="Calibri" w:eastAsia="Calibri" w:hAnsi="Calibri" w:cs="Calibri"/>
                <w:b/>
                <w:bCs/>
              </w:rPr>
              <w:t>Medicines Shortages</w:t>
            </w:r>
            <w:r w:rsidRPr="00295EB3">
              <w:rPr>
                <w:rFonts w:ascii="Calibri" w:eastAsia="Calibri" w:hAnsi="Calibri" w:cs="Calibri"/>
              </w:rPr>
              <w:t xml:space="preserve"> – Initial draft chapters have been commented on by the Advisory Group.  The next Advisory Group meeting is on 25 September and the parliamentary launch of the report is scheduled for the end of November.  More work will follow on from this report in 2025</w:t>
            </w:r>
          </w:p>
          <w:p w14:paraId="5493A1F5" w14:textId="77777777" w:rsidR="00295EB3" w:rsidRPr="00295EB3" w:rsidRDefault="00295EB3" w:rsidP="00185577">
            <w:pPr>
              <w:rPr>
                <w:rFonts w:ascii="Calibri" w:eastAsia="Calibri" w:hAnsi="Calibri" w:cs="Calibri"/>
              </w:rPr>
            </w:pPr>
          </w:p>
          <w:p w14:paraId="478B934C" w14:textId="714CF5AC" w:rsidR="00CF6E57" w:rsidRDefault="00CF6E57" w:rsidP="00185577">
            <w:pPr>
              <w:rPr>
                <w:rFonts w:ascii="Calibri" w:eastAsia="Calibri" w:hAnsi="Calibri" w:cs="Calibri"/>
              </w:rPr>
            </w:pPr>
            <w:r w:rsidRPr="00295EB3">
              <w:rPr>
                <w:rFonts w:ascii="Calibri" w:eastAsia="Calibri" w:hAnsi="Calibri" w:cs="Calibri"/>
                <w:b/>
                <w:bCs/>
              </w:rPr>
              <w:lastRenderedPageBreak/>
              <w:t>Gender Incongruence</w:t>
            </w:r>
            <w:r w:rsidRPr="00295EB3">
              <w:rPr>
                <w:rFonts w:ascii="Calibri" w:eastAsia="Calibri" w:hAnsi="Calibri" w:cs="Calibri"/>
              </w:rPr>
              <w:t xml:space="preserve"> – We have had the CASS review and the emergency order.  There are concerns re the criminalisation of dispensing puberty blockers.  Currently </w:t>
            </w:r>
            <w:r w:rsidR="00864A2F" w:rsidRPr="00295EB3">
              <w:rPr>
                <w:rFonts w:ascii="Calibri" w:eastAsia="Calibri" w:hAnsi="Calibri" w:cs="Calibri"/>
              </w:rPr>
              <w:t xml:space="preserve">RPS is </w:t>
            </w:r>
            <w:r w:rsidRPr="00295EB3">
              <w:rPr>
                <w:rFonts w:ascii="Calibri" w:eastAsia="Calibri" w:hAnsi="Calibri" w:cs="Calibri"/>
              </w:rPr>
              <w:t>responding to a closed consultation on the banning order.  We have concerns with there being a lack of robust referral pathways in place.</w:t>
            </w:r>
          </w:p>
          <w:p w14:paraId="5C9FA5C7" w14:textId="77777777" w:rsidR="00295EB3" w:rsidRPr="00295EB3" w:rsidRDefault="00295EB3" w:rsidP="00185577">
            <w:pPr>
              <w:rPr>
                <w:rFonts w:ascii="Calibri" w:eastAsia="Calibri" w:hAnsi="Calibri" w:cs="Calibri"/>
              </w:rPr>
            </w:pPr>
          </w:p>
          <w:p w14:paraId="313B6146" w14:textId="063B3505" w:rsidR="00CF6E57" w:rsidRDefault="00CF6E57" w:rsidP="00185577">
            <w:pPr>
              <w:rPr>
                <w:rFonts w:ascii="Calibri" w:eastAsia="Calibri" w:hAnsi="Calibri" w:cs="Calibri"/>
              </w:rPr>
            </w:pPr>
            <w:r w:rsidRPr="00295EB3">
              <w:rPr>
                <w:rFonts w:ascii="Calibri" w:eastAsia="Calibri" w:hAnsi="Calibri" w:cs="Calibri"/>
                <w:b/>
                <w:bCs/>
              </w:rPr>
              <w:t>Palliative Care</w:t>
            </w:r>
            <w:r w:rsidRPr="00295EB3">
              <w:rPr>
                <w:rFonts w:ascii="Calibri" w:eastAsia="Calibri" w:hAnsi="Calibri" w:cs="Calibri"/>
              </w:rPr>
              <w:t xml:space="preserve"> – Currently updating the Welsh Policy to </w:t>
            </w:r>
            <w:r w:rsidR="00864A2F" w:rsidRPr="00295EB3">
              <w:rPr>
                <w:rFonts w:ascii="Calibri" w:eastAsia="Calibri" w:hAnsi="Calibri" w:cs="Calibri"/>
              </w:rPr>
              <w:t>cover</w:t>
            </w:r>
            <w:r w:rsidRPr="00295EB3">
              <w:rPr>
                <w:rFonts w:ascii="Calibri" w:eastAsia="Calibri" w:hAnsi="Calibri" w:cs="Calibri"/>
              </w:rPr>
              <w:t xml:space="preserve"> GB.  Timeline 2025.</w:t>
            </w:r>
            <w:r w:rsidR="00330E61" w:rsidRPr="00295EB3">
              <w:rPr>
                <w:rFonts w:ascii="Calibri" w:eastAsia="Calibri" w:hAnsi="Calibri" w:cs="Calibri"/>
              </w:rPr>
              <w:t xml:space="preserve"> This </w:t>
            </w:r>
            <w:r w:rsidR="00864A2F" w:rsidRPr="00295EB3">
              <w:rPr>
                <w:rFonts w:ascii="Calibri" w:eastAsia="Calibri" w:hAnsi="Calibri" w:cs="Calibri"/>
              </w:rPr>
              <w:t xml:space="preserve">policy </w:t>
            </w:r>
            <w:r w:rsidR="00330E61" w:rsidRPr="00295EB3">
              <w:rPr>
                <w:rFonts w:ascii="Calibri" w:eastAsia="Calibri" w:hAnsi="Calibri" w:cs="Calibri"/>
              </w:rPr>
              <w:t>will cover all sectors of pharmacy.</w:t>
            </w:r>
          </w:p>
          <w:p w14:paraId="01636618" w14:textId="77777777" w:rsidR="00295EB3" w:rsidRPr="00295EB3" w:rsidRDefault="00295EB3" w:rsidP="00185577">
            <w:pPr>
              <w:rPr>
                <w:rFonts w:ascii="Calibri" w:eastAsia="Calibri" w:hAnsi="Calibri" w:cs="Calibri"/>
              </w:rPr>
            </w:pPr>
          </w:p>
          <w:p w14:paraId="7803C1A2" w14:textId="11490E57" w:rsidR="00CF6E57" w:rsidRDefault="00CF6E57" w:rsidP="00185577">
            <w:pPr>
              <w:rPr>
                <w:rFonts w:ascii="Calibri" w:eastAsia="Calibri" w:hAnsi="Calibri" w:cs="Calibri"/>
              </w:rPr>
            </w:pPr>
            <w:r w:rsidRPr="00295EB3">
              <w:rPr>
                <w:rFonts w:ascii="Calibri" w:eastAsia="Calibri" w:hAnsi="Calibri" w:cs="Calibri"/>
                <w:b/>
                <w:bCs/>
              </w:rPr>
              <w:t>Assisted Dying</w:t>
            </w:r>
            <w:r w:rsidRPr="00295EB3">
              <w:rPr>
                <w:rFonts w:ascii="Calibri" w:eastAsia="Calibri" w:hAnsi="Calibri" w:cs="Calibri"/>
              </w:rPr>
              <w:t xml:space="preserve"> – particularly relevant in Scotland as there is a </w:t>
            </w:r>
            <w:r w:rsidR="00864A2F" w:rsidRPr="00295EB3">
              <w:rPr>
                <w:rFonts w:ascii="Calibri" w:eastAsia="Calibri" w:hAnsi="Calibri" w:cs="Calibri"/>
              </w:rPr>
              <w:t>B</w:t>
            </w:r>
            <w:r w:rsidRPr="00295EB3">
              <w:rPr>
                <w:rFonts w:ascii="Calibri" w:eastAsia="Calibri" w:hAnsi="Calibri" w:cs="Calibri"/>
              </w:rPr>
              <w:t>ill going through Scottish Parliament.  We currently have a policy in this area of neutrality for pharmacists.  There are concerns with the Bill in Scotland regarding the conscience clause.</w:t>
            </w:r>
          </w:p>
          <w:p w14:paraId="7010F148" w14:textId="77777777" w:rsidR="00295EB3" w:rsidRPr="00295EB3" w:rsidRDefault="00295EB3" w:rsidP="00185577">
            <w:pPr>
              <w:rPr>
                <w:rFonts w:ascii="Calibri" w:eastAsia="Calibri" w:hAnsi="Calibri" w:cs="Calibri"/>
              </w:rPr>
            </w:pPr>
          </w:p>
          <w:p w14:paraId="708A0AD8" w14:textId="77777777" w:rsidR="00CF6E57" w:rsidRPr="00295EB3" w:rsidRDefault="00CF6E57" w:rsidP="00185577">
            <w:pPr>
              <w:rPr>
                <w:rFonts w:ascii="Calibri" w:eastAsia="Calibri" w:hAnsi="Calibri" w:cs="Calibri"/>
              </w:rPr>
            </w:pPr>
            <w:r w:rsidRPr="00295EB3">
              <w:rPr>
                <w:rFonts w:ascii="Calibri" w:eastAsia="Calibri" w:hAnsi="Calibri" w:cs="Calibri"/>
                <w:b/>
                <w:bCs/>
              </w:rPr>
              <w:t>Repeat Prescribing Toolkit</w:t>
            </w:r>
            <w:r w:rsidRPr="00295EB3">
              <w:rPr>
                <w:rFonts w:ascii="Calibri" w:eastAsia="Calibri" w:hAnsi="Calibri" w:cs="Calibri"/>
              </w:rPr>
              <w:t xml:space="preserve"> </w:t>
            </w:r>
            <w:r w:rsidR="00330E61" w:rsidRPr="00295EB3">
              <w:rPr>
                <w:rFonts w:ascii="Calibri" w:eastAsia="Calibri" w:hAnsi="Calibri" w:cs="Calibri"/>
              </w:rPr>
              <w:t>–</w:t>
            </w:r>
            <w:r w:rsidRPr="00295EB3">
              <w:rPr>
                <w:rFonts w:ascii="Calibri" w:eastAsia="Calibri" w:hAnsi="Calibri" w:cs="Calibri"/>
              </w:rPr>
              <w:t xml:space="preserve"> </w:t>
            </w:r>
            <w:r w:rsidR="00330E61" w:rsidRPr="00295EB3">
              <w:rPr>
                <w:rFonts w:ascii="Calibri" w:eastAsia="Calibri" w:hAnsi="Calibri" w:cs="Calibri"/>
              </w:rPr>
              <w:t>Looking to publish the toolkit in the coming months – before the end of the year.  It is currently being piloted in a couple of areas.</w:t>
            </w:r>
          </w:p>
          <w:p w14:paraId="37CAEE14" w14:textId="77777777" w:rsidR="00864A2F" w:rsidRPr="00295EB3" w:rsidRDefault="00864A2F" w:rsidP="00185577">
            <w:pPr>
              <w:rPr>
                <w:rFonts w:ascii="Calibri" w:eastAsia="Calibri" w:hAnsi="Calibri" w:cs="Calibri"/>
              </w:rPr>
            </w:pPr>
          </w:p>
          <w:p w14:paraId="69E88C37" w14:textId="3F6F4846" w:rsidR="00330E61" w:rsidRDefault="00864A2F" w:rsidP="00185577">
            <w:pPr>
              <w:rPr>
                <w:rFonts w:ascii="Calibri" w:eastAsia="Calibri" w:hAnsi="Calibri" w:cs="Calibri"/>
                <w:i/>
                <w:iCs/>
              </w:rPr>
            </w:pPr>
            <w:r w:rsidRPr="00295EB3">
              <w:rPr>
                <w:rFonts w:ascii="Calibri" w:eastAsia="Calibri" w:hAnsi="Calibri" w:cs="Calibri"/>
                <w:b/>
                <w:bCs/>
              </w:rPr>
              <w:t>Board Meetings</w:t>
            </w:r>
            <w:r w:rsidRPr="00295EB3">
              <w:rPr>
                <w:rFonts w:ascii="Calibri" w:eastAsia="Calibri" w:hAnsi="Calibri" w:cs="Calibri"/>
              </w:rPr>
              <w:t xml:space="preserve"> - </w:t>
            </w:r>
            <w:r w:rsidR="00330E61" w:rsidRPr="00295EB3">
              <w:rPr>
                <w:rFonts w:ascii="Calibri" w:eastAsia="Calibri" w:hAnsi="Calibri" w:cs="Calibri"/>
              </w:rPr>
              <w:t>There are National Board meetings next week where board members will be considering the workplan across GB for 2025.</w:t>
            </w:r>
          </w:p>
          <w:p w14:paraId="191FDEF0" w14:textId="77777777" w:rsidR="00864A2F" w:rsidRDefault="00864A2F" w:rsidP="00185577">
            <w:pPr>
              <w:rPr>
                <w:rFonts w:ascii="Calibri" w:eastAsia="Calibri" w:hAnsi="Calibri" w:cs="Calibri"/>
                <w:i/>
                <w:iCs/>
              </w:rPr>
            </w:pPr>
          </w:p>
          <w:p w14:paraId="464BF4E5" w14:textId="77777777" w:rsidR="00330E61" w:rsidRDefault="00330E61" w:rsidP="00185577">
            <w:pPr>
              <w:rPr>
                <w:rFonts w:ascii="Calibri" w:eastAsia="Calibri" w:hAnsi="Calibri" w:cs="Calibri"/>
                <w:i/>
                <w:iCs/>
              </w:rPr>
            </w:pPr>
            <w:r w:rsidRPr="00330E61">
              <w:rPr>
                <w:rFonts w:ascii="Calibri" w:eastAsia="Calibri" w:hAnsi="Calibri" w:cs="Calibri"/>
                <w:b/>
                <w:bCs/>
                <w:i/>
                <w:iCs/>
              </w:rPr>
              <w:t>Action:</w:t>
            </w:r>
            <w:r>
              <w:rPr>
                <w:rFonts w:ascii="Calibri" w:eastAsia="Calibri" w:hAnsi="Calibri" w:cs="Calibri"/>
                <w:i/>
                <w:iCs/>
              </w:rPr>
              <w:t xml:space="preserve">  HW to enquire whether the Repeat Prescribing Toolkit will have “open access” on the website and report back to the group</w:t>
            </w:r>
          </w:p>
          <w:p w14:paraId="3BE32E2D" w14:textId="68B05C7D" w:rsidR="00295EB3" w:rsidRPr="00F12F89" w:rsidRDefault="00295EB3" w:rsidP="00185577">
            <w:pPr>
              <w:rPr>
                <w:rFonts w:ascii="Calibri" w:eastAsia="Calibri" w:hAnsi="Calibri" w:cs="Calibri"/>
                <w:i/>
                <w:iCs/>
              </w:rPr>
            </w:pPr>
          </w:p>
        </w:tc>
      </w:tr>
    </w:tbl>
    <w:p w14:paraId="2D9DC1E9" w14:textId="1B853478" w:rsidR="0072482C" w:rsidRPr="007D1116" w:rsidRDefault="0072482C" w:rsidP="2BD831D1">
      <w:pPr>
        <w:keepNext/>
        <w:keepLines/>
        <w:spacing w:before="40" w:after="0"/>
      </w:pPr>
    </w:p>
    <w:p w14:paraId="6167FDDC" w14:textId="56C5D431" w:rsidR="0072482C" w:rsidRPr="007D1116" w:rsidRDefault="2BD831D1" w:rsidP="2BD831D1">
      <w:pPr>
        <w:pStyle w:val="Heading2"/>
        <w:pBdr>
          <w:bottom w:val="single" w:sz="4" w:space="1" w:color="000000"/>
        </w:pBdr>
        <w:shd w:val="clear" w:color="auto" w:fill="DEEAF6" w:themeFill="accent5" w:themeFillTint="33"/>
        <w:rPr>
          <w:b/>
          <w:bCs/>
          <w:color w:val="000000" w:themeColor="text1"/>
        </w:rPr>
      </w:pPr>
      <w:r w:rsidRPr="2BD831D1">
        <w:rPr>
          <w:b/>
          <w:bCs/>
          <w:color w:val="000000" w:themeColor="text1"/>
        </w:rPr>
        <w:t xml:space="preserve">3: </w:t>
      </w:r>
      <w:r w:rsidR="0007726C">
        <w:rPr>
          <w:b/>
          <w:bCs/>
          <w:color w:val="000000" w:themeColor="text1"/>
        </w:rPr>
        <w:t xml:space="preserve">Artificial Intelligence </w:t>
      </w:r>
      <w:r w:rsidRPr="2BD831D1">
        <w:rPr>
          <w:b/>
          <w:bCs/>
          <w:color w:val="000000" w:themeColor="text1"/>
        </w:rPr>
        <w:t>(2</w:t>
      </w:r>
      <w:r w:rsidR="0007726C">
        <w:rPr>
          <w:b/>
          <w:bCs/>
          <w:color w:val="000000" w:themeColor="text1"/>
        </w:rPr>
        <w:t>0</w:t>
      </w:r>
      <w:r w:rsidRPr="2BD831D1">
        <w:rPr>
          <w:b/>
          <w:bCs/>
          <w:color w:val="000000" w:themeColor="text1"/>
        </w:rPr>
        <w:t xml:space="preserve"> mins) – </w:t>
      </w:r>
      <w:r w:rsidR="0007726C">
        <w:rPr>
          <w:b/>
          <w:bCs/>
          <w:color w:val="000000" w:themeColor="text1"/>
        </w:rPr>
        <w:t>Fiona McIntyre</w:t>
      </w:r>
    </w:p>
    <w:tbl>
      <w:tblPr>
        <w:tblStyle w:val="TableGrid"/>
        <w:tblW w:w="0" w:type="auto"/>
        <w:tblLook w:val="04A0" w:firstRow="1" w:lastRow="0" w:firstColumn="1" w:lastColumn="0" w:noHBand="0" w:noVBand="1"/>
      </w:tblPr>
      <w:tblGrid>
        <w:gridCol w:w="1335"/>
        <w:gridCol w:w="7681"/>
      </w:tblGrid>
      <w:tr w:rsidR="2BD831D1" w14:paraId="23999D1E" w14:textId="77777777" w:rsidTr="12D28305">
        <w:trPr>
          <w:trHeight w:val="273"/>
        </w:trPr>
        <w:tc>
          <w:tcPr>
            <w:tcW w:w="1335" w:type="dxa"/>
          </w:tcPr>
          <w:p w14:paraId="6C04DBDB" w14:textId="77777777" w:rsidR="2BD831D1" w:rsidRDefault="2BD831D1" w:rsidP="2BD831D1">
            <w:pPr>
              <w:rPr>
                <w:b/>
                <w:bCs/>
              </w:rPr>
            </w:pPr>
            <w:r w:rsidRPr="2BD831D1">
              <w:rPr>
                <w:b/>
                <w:bCs/>
              </w:rPr>
              <w:t>Description</w:t>
            </w:r>
          </w:p>
        </w:tc>
        <w:tc>
          <w:tcPr>
            <w:tcW w:w="7681" w:type="dxa"/>
          </w:tcPr>
          <w:p w14:paraId="3BE86D17" w14:textId="61FFBA9D" w:rsidR="2BD831D1" w:rsidRDefault="12D28305" w:rsidP="2BD831D1">
            <w:r>
              <w:t>To discuss the content of an AI position statement</w:t>
            </w:r>
          </w:p>
          <w:p w14:paraId="6AB6752E" w14:textId="2E1043A4" w:rsidR="2BD831D1" w:rsidRDefault="2BD831D1" w:rsidP="2BD831D1"/>
        </w:tc>
      </w:tr>
      <w:tr w:rsidR="2BD831D1" w14:paraId="587419C5" w14:textId="77777777" w:rsidTr="12D28305">
        <w:trPr>
          <w:trHeight w:val="638"/>
        </w:trPr>
        <w:tc>
          <w:tcPr>
            <w:tcW w:w="1335" w:type="dxa"/>
          </w:tcPr>
          <w:p w14:paraId="4DEDB2BE" w14:textId="77777777" w:rsidR="2BD831D1" w:rsidRDefault="2BD831D1" w:rsidP="2BD831D1">
            <w:pPr>
              <w:rPr>
                <w:b/>
                <w:bCs/>
              </w:rPr>
            </w:pPr>
            <w:r w:rsidRPr="2BD831D1">
              <w:rPr>
                <w:b/>
                <w:bCs/>
              </w:rPr>
              <w:t>Purpose</w:t>
            </w:r>
          </w:p>
        </w:tc>
        <w:tc>
          <w:tcPr>
            <w:tcW w:w="7681" w:type="dxa"/>
          </w:tcPr>
          <w:p w14:paraId="02AF9C0F" w14:textId="77777777" w:rsidR="2BD831D1" w:rsidRDefault="2BD831D1" w:rsidP="2BD831D1">
            <w:pPr>
              <w:rPr>
                <w:rFonts w:ascii="Calibri" w:eastAsia="Calibri" w:hAnsi="Calibri" w:cs="Calibri"/>
              </w:rPr>
            </w:pPr>
            <w:r>
              <w:t>To get insight and feedback from PCPEAG members on this topic</w:t>
            </w:r>
          </w:p>
        </w:tc>
      </w:tr>
      <w:tr w:rsidR="2BD831D1" w14:paraId="53BCDC12" w14:textId="77777777" w:rsidTr="12D28305">
        <w:trPr>
          <w:trHeight w:val="568"/>
        </w:trPr>
        <w:tc>
          <w:tcPr>
            <w:tcW w:w="1335" w:type="dxa"/>
          </w:tcPr>
          <w:p w14:paraId="32ACD5E5" w14:textId="77777777" w:rsidR="2BD831D1" w:rsidRDefault="2BD831D1" w:rsidP="2BD831D1">
            <w:pPr>
              <w:rPr>
                <w:b/>
                <w:bCs/>
              </w:rPr>
            </w:pPr>
            <w:r w:rsidRPr="2BD831D1">
              <w:rPr>
                <w:b/>
                <w:bCs/>
              </w:rPr>
              <w:t>Outcomes</w:t>
            </w:r>
          </w:p>
        </w:tc>
        <w:tc>
          <w:tcPr>
            <w:tcW w:w="7681" w:type="dxa"/>
          </w:tcPr>
          <w:p w14:paraId="12A06100" w14:textId="77777777" w:rsidR="2BD831D1" w:rsidRDefault="00330E61">
            <w:r w:rsidRPr="00295EB3">
              <w:t>The Chair welcomed Fiona McIntyre to the meeting.</w:t>
            </w:r>
          </w:p>
          <w:p w14:paraId="67579B48" w14:textId="77777777" w:rsidR="00295EB3" w:rsidRPr="00295EB3" w:rsidRDefault="00295EB3"/>
          <w:p w14:paraId="56296ADD" w14:textId="77777777" w:rsidR="00330E61" w:rsidRDefault="00330E61">
            <w:r w:rsidRPr="00295EB3">
              <w:rPr>
                <w:b/>
                <w:bCs/>
              </w:rPr>
              <w:t>Action:</w:t>
            </w:r>
            <w:r w:rsidRPr="00295EB3">
              <w:t xml:space="preserve">  HW to circulate the first draft of the AI position statement to the group.</w:t>
            </w:r>
          </w:p>
          <w:p w14:paraId="6FB0BE93" w14:textId="77777777" w:rsidR="00295EB3" w:rsidRPr="00295EB3" w:rsidRDefault="00295EB3"/>
          <w:p w14:paraId="408ABCCF" w14:textId="76B85E39" w:rsidR="00330E61" w:rsidRPr="00295EB3" w:rsidRDefault="00330E61">
            <w:r w:rsidRPr="00295EB3">
              <w:t>FM went over the14 recommendations contained in the report and invited questions.</w:t>
            </w:r>
          </w:p>
          <w:p w14:paraId="01633CA6" w14:textId="5F8D238B" w:rsidR="00330E61" w:rsidRPr="00295EB3" w:rsidRDefault="00330E61">
            <w:r w:rsidRPr="00295EB3">
              <w:t xml:space="preserve">Additional feedback is welcomed at </w:t>
            </w:r>
            <w:hyperlink r:id="rId7" w:history="1">
              <w:r w:rsidRPr="00295EB3">
                <w:rPr>
                  <w:rStyle w:val="Hyperlink"/>
                </w:rPr>
                <w:t>Fiona.mcintyre@rpharms.com</w:t>
              </w:r>
            </w:hyperlink>
            <w:r w:rsidR="005C5C58" w:rsidRPr="00295EB3">
              <w:t xml:space="preserve"> by </w:t>
            </w:r>
            <w:r w:rsidR="00295EB3">
              <w:t>25</w:t>
            </w:r>
            <w:r w:rsidR="005C5C58" w:rsidRPr="00295EB3">
              <w:t xml:space="preserve"> Sept</w:t>
            </w:r>
          </w:p>
          <w:p w14:paraId="5EC19044" w14:textId="156E1739" w:rsidR="00330E61" w:rsidRDefault="00330E61">
            <w:r w:rsidRPr="00295EB3">
              <w:t>FM is particularly looking for examples of AI happening in practice.</w:t>
            </w:r>
            <w:r w:rsidR="005C5C58" w:rsidRPr="00295EB3">
              <w:t xml:space="preserve">  FM said this is the first piece of work from RPS on AI – maybe there will be scope for standards and guidance to follow.</w:t>
            </w:r>
          </w:p>
          <w:p w14:paraId="4FFBD5EF" w14:textId="77777777" w:rsidR="00295EB3" w:rsidRPr="00295EB3" w:rsidRDefault="00295EB3"/>
          <w:p w14:paraId="594586A4" w14:textId="77777777" w:rsidR="00330E61" w:rsidRPr="00295EB3" w:rsidRDefault="00330E61">
            <w:r w:rsidRPr="00295EB3">
              <w:t>The following questions and comments were made:-</w:t>
            </w:r>
          </w:p>
          <w:p w14:paraId="3D5205B1" w14:textId="77777777" w:rsidR="00330E61" w:rsidRPr="00295EB3" w:rsidRDefault="00330E61" w:rsidP="00330E61">
            <w:pPr>
              <w:pStyle w:val="ListParagraph"/>
              <w:numPr>
                <w:ilvl w:val="0"/>
                <w:numId w:val="23"/>
              </w:numPr>
            </w:pPr>
            <w:r w:rsidRPr="00295EB3">
              <w:t>Will RPS be putting a framework together to benchmark against?</w:t>
            </w:r>
          </w:p>
          <w:p w14:paraId="22022E44" w14:textId="77777777" w:rsidR="00330E61" w:rsidRPr="00295EB3" w:rsidRDefault="00330E61" w:rsidP="00330E61">
            <w:pPr>
              <w:pStyle w:val="ListParagraph"/>
              <w:numPr>
                <w:ilvl w:val="0"/>
                <w:numId w:val="23"/>
              </w:numPr>
            </w:pPr>
            <w:r w:rsidRPr="00295EB3">
              <w:t>From a primary care perspective how is AI delivered?</w:t>
            </w:r>
          </w:p>
          <w:p w14:paraId="3CB904AE" w14:textId="77777777" w:rsidR="00330E61" w:rsidRPr="00295EB3" w:rsidRDefault="00330E61" w:rsidP="00330E61">
            <w:pPr>
              <w:pStyle w:val="ListParagraph"/>
              <w:numPr>
                <w:ilvl w:val="0"/>
                <w:numId w:val="23"/>
              </w:numPr>
            </w:pPr>
            <w:r w:rsidRPr="00295EB3">
              <w:t>Commissioners are struggling with digital technology</w:t>
            </w:r>
          </w:p>
          <w:p w14:paraId="512E3217" w14:textId="2425A23D" w:rsidR="00330E61" w:rsidRPr="00295EB3" w:rsidRDefault="005C5C58" w:rsidP="00330E61">
            <w:pPr>
              <w:pStyle w:val="ListParagraph"/>
              <w:numPr>
                <w:ilvl w:val="0"/>
                <w:numId w:val="23"/>
              </w:numPr>
            </w:pPr>
            <w:r w:rsidRPr="00295EB3">
              <w:t>Who are we trying to help – there are a lot of barriers.  Need to target the problem and implementation – eg chronic disease management – risk strategy for patients.  Contextualising will be beneficial</w:t>
            </w:r>
          </w:p>
          <w:p w14:paraId="54044965" w14:textId="77777777" w:rsidR="005C5C58" w:rsidRPr="00295EB3" w:rsidRDefault="005C5C58" w:rsidP="00330E61">
            <w:pPr>
              <w:pStyle w:val="ListParagraph"/>
              <w:numPr>
                <w:ilvl w:val="0"/>
                <w:numId w:val="23"/>
              </w:numPr>
            </w:pPr>
            <w:r w:rsidRPr="00295EB3">
              <w:t>Australia are using AI for OSCI</w:t>
            </w:r>
          </w:p>
          <w:p w14:paraId="4024FB28" w14:textId="77777777" w:rsidR="005C5C58" w:rsidRPr="00295EB3" w:rsidRDefault="005C5C58" w:rsidP="00330E61">
            <w:pPr>
              <w:pStyle w:val="ListParagraph"/>
              <w:numPr>
                <w:ilvl w:val="0"/>
                <w:numId w:val="23"/>
              </w:numPr>
            </w:pPr>
            <w:r w:rsidRPr="00295EB3">
              <w:t>AI has learning capability and is more risky than Chat GPT</w:t>
            </w:r>
          </w:p>
          <w:p w14:paraId="4A0777AA" w14:textId="77777777" w:rsidR="005C5C58" w:rsidRPr="00295EB3" w:rsidRDefault="005C5C58" w:rsidP="00330E61">
            <w:pPr>
              <w:pStyle w:val="ListParagraph"/>
              <w:numPr>
                <w:ilvl w:val="0"/>
                <w:numId w:val="23"/>
              </w:numPr>
            </w:pPr>
            <w:r w:rsidRPr="00295EB3">
              <w:t>Learning about AI is already happening in education – eg podiatry</w:t>
            </w:r>
          </w:p>
          <w:p w14:paraId="08D4B79D" w14:textId="77777777" w:rsidR="005C5C58" w:rsidRPr="00295EB3" w:rsidRDefault="005C5C58" w:rsidP="00864A2F">
            <w:pPr>
              <w:pStyle w:val="ListParagraph"/>
              <w:numPr>
                <w:ilvl w:val="0"/>
                <w:numId w:val="23"/>
              </w:numPr>
              <w:rPr>
                <w:i/>
                <w:iCs/>
              </w:rPr>
            </w:pPr>
            <w:r w:rsidRPr="00295EB3">
              <w:t>Refer to</w:t>
            </w:r>
            <w:r w:rsidR="00864A2F" w:rsidRPr="00295EB3">
              <w:t xml:space="preserve"> document</w:t>
            </w:r>
            <w:r w:rsidRPr="00295EB3">
              <w:t xml:space="preserve"> “AI in Primary Care” by RCGP</w:t>
            </w:r>
          </w:p>
          <w:p w14:paraId="7DE2ABFB" w14:textId="062402B5" w:rsidR="00295EB3" w:rsidRPr="00864A2F" w:rsidRDefault="00295EB3" w:rsidP="00295EB3">
            <w:pPr>
              <w:pStyle w:val="ListParagraph"/>
              <w:rPr>
                <w:i/>
                <w:iCs/>
              </w:rPr>
            </w:pPr>
          </w:p>
        </w:tc>
      </w:tr>
    </w:tbl>
    <w:p w14:paraId="6DF3509C" w14:textId="0073C4E8" w:rsidR="0072482C" w:rsidRDefault="0072482C" w:rsidP="2BD831D1">
      <w:pPr>
        <w:keepNext/>
        <w:keepLines/>
        <w:spacing w:before="40" w:after="0"/>
      </w:pPr>
    </w:p>
    <w:p w14:paraId="6C6921FE" w14:textId="681CE618" w:rsidR="003021FF" w:rsidRDefault="003021FF" w:rsidP="003021FF">
      <w:pPr>
        <w:pStyle w:val="Heading2"/>
        <w:shd w:val="clear" w:color="auto" w:fill="D9E2F3" w:themeFill="accent1" w:themeFillTint="33"/>
        <w:rPr>
          <w:b/>
          <w:bCs/>
          <w:color w:val="000000" w:themeColor="text1"/>
          <w:sz w:val="24"/>
          <w:szCs w:val="24"/>
        </w:rPr>
      </w:pPr>
      <w:r>
        <w:rPr>
          <w:b/>
          <w:bCs/>
          <w:color w:val="000000" w:themeColor="text1"/>
          <w:sz w:val="24"/>
          <w:szCs w:val="24"/>
        </w:rPr>
        <w:t>4</w:t>
      </w:r>
      <w:r w:rsidRPr="2BD831D1">
        <w:rPr>
          <w:b/>
          <w:bCs/>
          <w:color w:val="000000" w:themeColor="text1"/>
          <w:sz w:val="24"/>
          <w:szCs w:val="24"/>
        </w:rPr>
        <w:t xml:space="preserve">: </w:t>
      </w:r>
      <w:r>
        <w:rPr>
          <w:b/>
          <w:bCs/>
          <w:color w:val="000000" w:themeColor="text1"/>
          <w:sz w:val="24"/>
          <w:szCs w:val="24"/>
        </w:rPr>
        <w:t>Patient Safety and Primary Care (20 mins) – Kate Ryan</w:t>
      </w:r>
    </w:p>
    <w:tbl>
      <w:tblPr>
        <w:tblStyle w:val="TableGrid"/>
        <w:tblW w:w="9016" w:type="dxa"/>
        <w:tblLook w:val="04A0" w:firstRow="1" w:lastRow="0" w:firstColumn="1" w:lastColumn="0" w:noHBand="0" w:noVBand="1"/>
      </w:tblPr>
      <w:tblGrid>
        <w:gridCol w:w="1335"/>
        <w:gridCol w:w="7681"/>
      </w:tblGrid>
      <w:tr w:rsidR="003021FF" w14:paraId="01579084" w14:textId="77777777" w:rsidTr="00DF41A3">
        <w:trPr>
          <w:trHeight w:val="273"/>
        </w:trPr>
        <w:tc>
          <w:tcPr>
            <w:tcW w:w="1335" w:type="dxa"/>
          </w:tcPr>
          <w:p w14:paraId="1849F07B" w14:textId="77777777" w:rsidR="003021FF" w:rsidRPr="004237B3" w:rsidRDefault="003021FF" w:rsidP="00DF41A3">
            <w:pPr>
              <w:rPr>
                <w:b/>
                <w:bCs/>
              </w:rPr>
            </w:pPr>
            <w:r w:rsidRPr="004237B3">
              <w:rPr>
                <w:b/>
                <w:bCs/>
              </w:rPr>
              <w:t>Description</w:t>
            </w:r>
          </w:p>
        </w:tc>
        <w:tc>
          <w:tcPr>
            <w:tcW w:w="7681" w:type="dxa"/>
          </w:tcPr>
          <w:p w14:paraId="679B650A" w14:textId="1FC92BA8" w:rsidR="003021FF" w:rsidRDefault="003021FF" w:rsidP="00DF41A3">
            <w:pPr>
              <w:pStyle w:val="Heading2"/>
              <w:spacing w:line="259" w:lineRule="auto"/>
              <w:rPr>
                <w:rFonts w:asciiTheme="minorHAnsi" w:eastAsiaTheme="minorEastAsia" w:hAnsiTheme="minorHAnsi" w:cstheme="minorBidi"/>
                <w:color w:val="auto"/>
                <w:sz w:val="22"/>
                <w:szCs w:val="22"/>
              </w:rPr>
            </w:pPr>
            <w:r w:rsidRPr="2BD831D1">
              <w:rPr>
                <w:rFonts w:asciiTheme="minorHAnsi" w:eastAsiaTheme="minorEastAsia" w:hAnsiTheme="minorHAnsi" w:cstheme="minorBidi"/>
                <w:color w:val="auto"/>
                <w:sz w:val="22"/>
                <w:szCs w:val="22"/>
              </w:rPr>
              <w:t xml:space="preserve">To </w:t>
            </w:r>
            <w:r>
              <w:rPr>
                <w:rFonts w:asciiTheme="minorHAnsi" w:eastAsiaTheme="minorEastAsia" w:hAnsiTheme="minorHAnsi" w:cstheme="minorBidi"/>
                <w:color w:val="auto"/>
                <w:sz w:val="22"/>
                <w:szCs w:val="22"/>
              </w:rPr>
              <w:t>introduce Kate Ryan, Patient Safety Manager at RPS</w:t>
            </w:r>
          </w:p>
          <w:p w14:paraId="4F801FFA" w14:textId="77777777" w:rsidR="003021FF" w:rsidRPr="004237B3" w:rsidRDefault="003021FF" w:rsidP="00DF41A3">
            <w:pPr>
              <w:rPr>
                <w:rFonts w:cstheme="minorHAnsi"/>
              </w:rPr>
            </w:pPr>
          </w:p>
        </w:tc>
      </w:tr>
      <w:tr w:rsidR="003021FF" w14:paraId="5E0508E2" w14:textId="77777777" w:rsidTr="00DF41A3">
        <w:trPr>
          <w:trHeight w:val="638"/>
        </w:trPr>
        <w:tc>
          <w:tcPr>
            <w:tcW w:w="1335" w:type="dxa"/>
          </w:tcPr>
          <w:p w14:paraId="174FD180" w14:textId="77777777" w:rsidR="003021FF" w:rsidRPr="004237B3" w:rsidRDefault="003021FF" w:rsidP="00DF41A3">
            <w:pPr>
              <w:rPr>
                <w:b/>
                <w:bCs/>
              </w:rPr>
            </w:pPr>
            <w:r w:rsidRPr="004237B3">
              <w:rPr>
                <w:b/>
                <w:bCs/>
              </w:rPr>
              <w:t>Purpose</w:t>
            </w:r>
          </w:p>
        </w:tc>
        <w:tc>
          <w:tcPr>
            <w:tcW w:w="7681" w:type="dxa"/>
          </w:tcPr>
          <w:p w14:paraId="6C24E228" w14:textId="005527DF" w:rsidR="003021FF" w:rsidRPr="007B312E" w:rsidRDefault="003021FF" w:rsidP="00DF41A3">
            <w:pPr>
              <w:rPr>
                <w:rFonts w:ascii="Calibri" w:eastAsia="Calibri" w:hAnsi="Calibri" w:cs="Calibri"/>
              </w:rPr>
            </w:pPr>
            <w:r>
              <w:t>To get insight and feedback from PCPEAG members on patient safety issues in primary care</w:t>
            </w:r>
          </w:p>
        </w:tc>
      </w:tr>
      <w:tr w:rsidR="003021FF" w14:paraId="18248956" w14:textId="77777777" w:rsidTr="00DF41A3">
        <w:trPr>
          <w:trHeight w:val="568"/>
        </w:trPr>
        <w:tc>
          <w:tcPr>
            <w:tcW w:w="1335" w:type="dxa"/>
          </w:tcPr>
          <w:p w14:paraId="0232C15D" w14:textId="77777777" w:rsidR="003021FF" w:rsidRPr="004237B3" w:rsidRDefault="003021FF" w:rsidP="00DF41A3">
            <w:pPr>
              <w:rPr>
                <w:b/>
                <w:bCs/>
              </w:rPr>
            </w:pPr>
            <w:r w:rsidRPr="004237B3">
              <w:rPr>
                <w:b/>
                <w:bCs/>
              </w:rPr>
              <w:t>Outcomes</w:t>
            </w:r>
          </w:p>
        </w:tc>
        <w:tc>
          <w:tcPr>
            <w:tcW w:w="7681" w:type="dxa"/>
          </w:tcPr>
          <w:p w14:paraId="347548B9" w14:textId="45DDE499" w:rsidR="003021FF" w:rsidRPr="00295EB3" w:rsidRDefault="005C5C58" w:rsidP="00DF41A3">
            <w:r w:rsidRPr="00295EB3">
              <w:t xml:space="preserve">The Chair welcomed Kate Ryan to the meeting.  Kate introduced herself and spoke of her background.  KR said she was keen to gain a greater understanding of </w:t>
            </w:r>
            <w:r w:rsidR="001229C8">
              <w:t>patient</w:t>
            </w:r>
            <w:r w:rsidRPr="00295EB3">
              <w:t xml:space="preserve"> safety issue</w:t>
            </w:r>
            <w:r w:rsidR="001229C8">
              <w:t>s</w:t>
            </w:r>
            <w:r w:rsidRPr="00295EB3">
              <w:t xml:space="preserve"> in primary care.  The group members offered K</w:t>
            </w:r>
            <w:r w:rsidR="00864A2F" w:rsidRPr="00295EB3">
              <w:t>R</w:t>
            </w:r>
            <w:r w:rsidRPr="00295EB3">
              <w:t xml:space="preserve"> their help and made particular mention to:-</w:t>
            </w:r>
          </w:p>
          <w:p w14:paraId="5FCF8560" w14:textId="77777777" w:rsidR="005C5C58" w:rsidRPr="00295EB3" w:rsidRDefault="005C5C58" w:rsidP="005C5C58">
            <w:pPr>
              <w:pStyle w:val="ListParagraph"/>
              <w:numPr>
                <w:ilvl w:val="0"/>
                <w:numId w:val="24"/>
              </w:numPr>
            </w:pPr>
            <w:r w:rsidRPr="00295EB3">
              <w:t>Ambulance trusts</w:t>
            </w:r>
            <w:r w:rsidR="007C743A" w:rsidRPr="00295EB3">
              <w:t xml:space="preserve"> and incidents</w:t>
            </w:r>
          </w:p>
          <w:p w14:paraId="54B279E4" w14:textId="77777777" w:rsidR="007C743A" w:rsidRPr="00295EB3" w:rsidRDefault="007C743A" w:rsidP="005C5C58">
            <w:pPr>
              <w:pStyle w:val="ListParagraph"/>
              <w:numPr>
                <w:ilvl w:val="0"/>
                <w:numId w:val="24"/>
              </w:numPr>
            </w:pPr>
            <w:r w:rsidRPr="00295EB3">
              <w:t>Transfer of care between secondary and primary care</w:t>
            </w:r>
          </w:p>
          <w:p w14:paraId="6870D384" w14:textId="77777777" w:rsidR="007C743A" w:rsidRPr="00295EB3" w:rsidRDefault="007C743A" w:rsidP="005C5C58">
            <w:pPr>
              <w:pStyle w:val="ListParagraph"/>
              <w:numPr>
                <w:ilvl w:val="0"/>
                <w:numId w:val="24"/>
              </w:numPr>
            </w:pPr>
            <w:r w:rsidRPr="00295EB3">
              <w:t>Unregistered clinicians</w:t>
            </w:r>
          </w:p>
          <w:p w14:paraId="1806F1FF" w14:textId="58714C59" w:rsidR="007C743A" w:rsidRPr="00295EB3" w:rsidRDefault="007C743A" w:rsidP="005C5C58">
            <w:pPr>
              <w:pStyle w:val="ListParagraph"/>
              <w:numPr>
                <w:ilvl w:val="0"/>
                <w:numId w:val="24"/>
              </w:numPr>
            </w:pPr>
            <w:r w:rsidRPr="00295EB3">
              <w:t>Polypharmacy</w:t>
            </w:r>
          </w:p>
          <w:p w14:paraId="55856058" w14:textId="612F0074" w:rsidR="007C743A" w:rsidRPr="00295EB3" w:rsidRDefault="007C743A" w:rsidP="005C5C58">
            <w:pPr>
              <w:pStyle w:val="ListParagraph"/>
              <w:numPr>
                <w:ilvl w:val="0"/>
                <w:numId w:val="24"/>
              </w:numPr>
            </w:pPr>
            <w:r w:rsidRPr="00295EB3">
              <w:t>Link</w:t>
            </w:r>
            <w:r w:rsidR="00864A2F" w:rsidRPr="00295EB3">
              <w:t>ing</w:t>
            </w:r>
            <w:r w:rsidRPr="00295EB3">
              <w:t xml:space="preserve"> up with CQC</w:t>
            </w:r>
          </w:p>
          <w:p w14:paraId="0F9E8F0A" w14:textId="77777777" w:rsidR="007C743A" w:rsidRPr="00295EB3" w:rsidRDefault="007C743A" w:rsidP="005C5C58">
            <w:pPr>
              <w:pStyle w:val="ListParagraph"/>
              <w:numPr>
                <w:ilvl w:val="0"/>
                <w:numId w:val="24"/>
              </w:numPr>
            </w:pPr>
            <w:r w:rsidRPr="00295EB3">
              <w:t>Patients with mental health conditions – administering medicines – needs pharmacy involvement</w:t>
            </w:r>
          </w:p>
          <w:p w14:paraId="2AE6FCB1" w14:textId="37CC917F" w:rsidR="007C743A" w:rsidRDefault="007C743A" w:rsidP="007C743A">
            <w:r w:rsidRPr="00295EB3">
              <w:t>KR agreed to follow up with some members to gain a greater understanding of some of the</w:t>
            </w:r>
            <w:r w:rsidR="001229C8">
              <w:t xml:space="preserve"> patient safety</w:t>
            </w:r>
            <w:r w:rsidRPr="00295EB3">
              <w:t xml:space="preserve"> issues in primary care.</w:t>
            </w:r>
          </w:p>
          <w:p w14:paraId="7030B88A" w14:textId="5F47D6C9" w:rsidR="00295EB3" w:rsidRPr="007C743A" w:rsidRDefault="00295EB3" w:rsidP="007C743A">
            <w:pPr>
              <w:rPr>
                <w:i/>
                <w:iCs/>
              </w:rPr>
            </w:pPr>
          </w:p>
        </w:tc>
      </w:tr>
    </w:tbl>
    <w:p w14:paraId="11E642E4" w14:textId="77777777" w:rsidR="003021FF" w:rsidRDefault="003021FF" w:rsidP="2BD831D1">
      <w:pPr>
        <w:keepNext/>
        <w:keepLines/>
        <w:spacing w:before="40" w:after="0"/>
      </w:pPr>
    </w:p>
    <w:p w14:paraId="3B37F2C4" w14:textId="77777777" w:rsidR="003021FF" w:rsidRPr="007D1116" w:rsidRDefault="003021FF" w:rsidP="2BD831D1">
      <w:pPr>
        <w:keepNext/>
        <w:keepLines/>
        <w:spacing w:before="40" w:after="0"/>
      </w:pPr>
    </w:p>
    <w:p w14:paraId="19DB8733" w14:textId="0A7FCEAB" w:rsidR="007913BF" w:rsidRDefault="003021FF" w:rsidP="2BD831D1">
      <w:pPr>
        <w:pStyle w:val="Heading2"/>
        <w:shd w:val="clear" w:color="auto" w:fill="D9E2F3" w:themeFill="accent1" w:themeFillTint="33"/>
        <w:rPr>
          <w:b/>
          <w:bCs/>
          <w:color w:val="000000" w:themeColor="text1"/>
          <w:sz w:val="24"/>
          <w:szCs w:val="24"/>
        </w:rPr>
      </w:pPr>
      <w:r>
        <w:rPr>
          <w:b/>
          <w:bCs/>
          <w:color w:val="000000" w:themeColor="text1"/>
          <w:sz w:val="24"/>
          <w:szCs w:val="24"/>
        </w:rPr>
        <w:t>5</w:t>
      </w:r>
      <w:r w:rsidR="2BD831D1" w:rsidRPr="2BD831D1">
        <w:rPr>
          <w:b/>
          <w:bCs/>
          <w:color w:val="000000" w:themeColor="text1"/>
          <w:sz w:val="24"/>
          <w:szCs w:val="24"/>
        </w:rPr>
        <w:t xml:space="preserve">: </w:t>
      </w:r>
      <w:r w:rsidR="0007726C">
        <w:rPr>
          <w:b/>
          <w:bCs/>
          <w:color w:val="000000" w:themeColor="text1"/>
          <w:sz w:val="24"/>
          <w:szCs w:val="24"/>
        </w:rPr>
        <w:t xml:space="preserve">EAG Survey and Future Direction </w:t>
      </w:r>
      <w:r w:rsidR="2BD831D1" w:rsidRPr="2BD831D1">
        <w:rPr>
          <w:b/>
          <w:bCs/>
          <w:color w:val="000000" w:themeColor="text1"/>
          <w:sz w:val="24"/>
          <w:szCs w:val="24"/>
        </w:rPr>
        <w:t xml:space="preserve">(15 mins) – </w:t>
      </w:r>
      <w:r w:rsidR="0007726C">
        <w:rPr>
          <w:b/>
          <w:bCs/>
          <w:color w:val="000000" w:themeColor="text1"/>
          <w:sz w:val="24"/>
          <w:szCs w:val="24"/>
        </w:rPr>
        <w:t>Heidi Wright</w:t>
      </w:r>
    </w:p>
    <w:tbl>
      <w:tblPr>
        <w:tblStyle w:val="TableGrid"/>
        <w:tblW w:w="9016" w:type="dxa"/>
        <w:tblLook w:val="04A0" w:firstRow="1" w:lastRow="0" w:firstColumn="1" w:lastColumn="0" w:noHBand="0" w:noVBand="1"/>
      </w:tblPr>
      <w:tblGrid>
        <w:gridCol w:w="1335"/>
        <w:gridCol w:w="7681"/>
      </w:tblGrid>
      <w:tr w:rsidR="007913BF" w14:paraId="4F92E3D0" w14:textId="77777777" w:rsidTr="2BD831D1">
        <w:trPr>
          <w:trHeight w:val="273"/>
        </w:trPr>
        <w:tc>
          <w:tcPr>
            <w:tcW w:w="1335" w:type="dxa"/>
          </w:tcPr>
          <w:p w14:paraId="15DE810D" w14:textId="77777777" w:rsidR="007913BF" w:rsidRPr="004237B3" w:rsidRDefault="007913BF" w:rsidP="00A773D9">
            <w:pPr>
              <w:rPr>
                <w:b/>
                <w:bCs/>
              </w:rPr>
            </w:pPr>
            <w:r w:rsidRPr="004237B3">
              <w:rPr>
                <w:b/>
                <w:bCs/>
              </w:rPr>
              <w:t>Description</w:t>
            </w:r>
          </w:p>
        </w:tc>
        <w:tc>
          <w:tcPr>
            <w:tcW w:w="7681" w:type="dxa"/>
          </w:tcPr>
          <w:p w14:paraId="52874F08" w14:textId="2F403223" w:rsidR="00854AC4" w:rsidRDefault="2BD831D1" w:rsidP="2BD831D1">
            <w:pPr>
              <w:pStyle w:val="Heading2"/>
              <w:spacing w:line="259" w:lineRule="auto"/>
              <w:rPr>
                <w:rFonts w:asciiTheme="minorHAnsi" w:eastAsiaTheme="minorEastAsia" w:hAnsiTheme="minorHAnsi" w:cstheme="minorBidi"/>
                <w:color w:val="auto"/>
                <w:sz w:val="22"/>
                <w:szCs w:val="22"/>
              </w:rPr>
            </w:pPr>
            <w:r w:rsidRPr="2BD831D1">
              <w:rPr>
                <w:rFonts w:asciiTheme="minorHAnsi" w:eastAsiaTheme="minorEastAsia" w:hAnsiTheme="minorHAnsi" w:cstheme="minorBidi"/>
                <w:color w:val="auto"/>
                <w:sz w:val="22"/>
                <w:szCs w:val="22"/>
              </w:rPr>
              <w:t xml:space="preserve">To discuss </w:t>
            </w:r>
            <w:r w:rsidR="0007726C">
              <w:rPr>
                <w:rFonts w:asciiTheme="minorHAnsi" w:eastAsiaTheme="minorEastAsia" w:hAnsiTheme="minorHAnsi" w:cstheme="minorBidi"/>
                <w:color w:val="auto"/>
                <w:sz w:val="22"/>
                <w:szCs w:val="22"/>
              </w:rPr>
              <w:t>feedback from the EAG survey and future formation of the EAG</w:t>
            </w:r>
          </w:p>
          <w:p w14:paraId="14099B2E" w14:textId="54BD6177" w:rsidR="00D40F08" w:rsidRPr="004237B3" w:rsidRDefault="00D40F08" w:rsidP="00D40F08">
            <w:pPr>
              <w:rPr>
                <w:rFonts w:cstheme="minorHAnsi"/>
              </w:rPr>
            </w:pPr>
          </w:p>
        </w:tc>
      </w:tr>
      <w:tr w:rsidR="00D40F08" w14:paraId="60CF2669" w14:textId="77777777" w:rsidTr="2BD831D1">
        <w:trPr>
          <w:trHeight w:val="638"/>
        </w:trPr>
        <w:tc>
          <w:tcPr>
            <w:tcW w:w="1335" w:type="dxa"/>
          </w:tcPr>
          <w:p w14:paraId="513A93EE" w14:textId="77777777" w:rsidR="00D40F08" w:rsidRPr="004237B3" w:rsidRDefault="00D40F08" w:rsidP="00D40F08">
            <w:pPr>
              <w:rPr>
                <w:b/>
                <w:bCs/>
              </w:rPr>
            </w:pPr>
            <w:r w:rsidRPr="004237B3">
              <w:rPr>
                <w:b/>
                <w:bCs/>
              </w:rPr>
              <w:t>Purpose</w:t>
            </w:r>
          </w:p>
        </w:tc>
        <w:tc>
          <w:tcPr>
            <w:tcW w:w="7681" w:type="dxa"/>
          </w:tcPr>
          <w:p w14:paraId="4F49E47B" w14:textId="5396DC04" w:rsidR="00D40F08" w:rsidRPr="007B312E" w:rsidRDefault="00D40F08" w:rsidP="00D40F08">
            <w:pPr>
              <w:rPr>
                <w:rFonts w:ascii="Calibri" w:eastAsia="Calibri" w:hAnsi="Calibri" w:cs="Calibri"/>
              </w:rPr>
            </w:pPr>
            <w:r>
              <w:t>To get insight and feedback from PCPEAG members on this topic</w:t>
            </w:r>
          </w:p>
        </w:tc>
      </w:tr>
      <w:tr w:rsidR="00D40F08" w14:paraId="064CD4FD" w14:textId="77777777" w:rsidTr="2BD831D1">
        <w:trPr>
          <w:trHeight w:val="568"/>
        </w:trPr>
        <w:tc>
          <w:tcPr>
            <w:tcW w:w="1335" w:type="dxa"/>
          </w:tcPr>
          <w:p w14:paraId="06018149" w14:textId="77777777" w:rsidR="00D40F08" w:rsidRPr="004237B3" w:rsidRDefault="00D40F08" w:rsidP="00D40F08">
            <w:pPr>
              <w:rPr>
                <w:b/>
                <w:bCs/>
              </w:rPr>
            </w:pPr>
            <w:r w:rsidRPr="004237B3">
              <w:rPr>
                <w:b/>
                <w:bCs/>
              </w:rPr>
              <w:t>Outcomes</w:t>
            </w:r>
          </w:p>
        </w:tc>
        <w:tc>
          <w:tcPr>
            <w:tcW w:w="7681" w:type="dxa"/>
          </w:tcPr>
          <w:p w14:paraId="19CD9525" w14:textId="71BE14D3" w:rsidR="00D40F08" w:rsidRPr="00295EB3" w:rsidRDefault="00295EB3" w:rsidP="00D40F08">
            <w:r>
              <w:t xml:space="preserve">HW </w:t>
            </w:r>
            <w:r w:rsidR="00373BF8" w:rsidRPr="00295EB3">
              <w:t>said she will be tweaking the Terms of Reference after comments received.  The members of the groups wishing to stay on and demit office are currently being assessed ahead of recruitment.  Recruitment should commence next week.  Interviews will only be conducted for the position of chairs.  Next time the PCEAG meets there will be some new members.</w:t>
            </w:r>
          </w:p>
          <w:p w14:paraId="5E6EDE00" w14:textId="77777777" w:rsidR="00373BF8" w:rsidRPr="00295EB3" w:rsidRDefault="00373BF8" w:rsidP="00D40F08"/>
          <w:p w14:paraId="1C0AFA5B" w14:textId="77777777" w:rsidR="00373BF8" w:rsidRPr="00295EB3" w:rsidRDefault="00373BF8" w:rsidP="00D40F08">
            <w:r w:rsidRPr="00295EB3">
              <w:t>There has been a suggestion</w:t>
            </w:r>
            <w:r w:rsidR="00933E90" w:rsidRPr="00295EB3">
              <w:t xml:space="preserve"> put forward for consideration</w:t>
            </w:r>
            <w:r w:rsidRPr="00295EB3">
              <w:t xml:space="preserve"> of having a joint meeting of all EAG</w:t>
            </w:r>
            <w:r w:rsidR="00D815BF" w:rsidRPr="00295EB3">
              <w:t>s</w:t>
            </w:r>
            <w:r w:rsidR="00933E90" w:rsidRPr="00295EB3">
              <w:t xml:space="preserve"> when there is a topic that needs discussing by all groups.</w:t>
            </w:r>
          </w:p>
          <w:p w14:paraId="02AC75AD" w14:textId="77777777" w:rsidR="00933E90" w:rsidRPr="00295EB3" w:rsidRDefault="00933E90" w:rsidP="00D40F08"/>
          <w:p w14:paraId="64FF8328" w14:textId="77777777" w:rsidR="00933E90" w:rsidRPr="00295EB3" w:rsidRDefault="00933E90" w:rsidP="00D40F08">
            <w:r w:rsidRPr="00295EB3">
              <w:t>It has been decided that all meetings will be virtual as they work well and are cost effective.</w:t>
            </w:r>
          </w:p>
          <w:p w14:paraId="6AF959F0" w14:textId="77777777" w:rsidR="00933E90" w:rsidRPr="00295EB3" w:rsidRDefault="00933E90" w:rsidP="00D40F08"/>
          <w:p w14:paraId="5EE064D4" w14:textId="0FF8720A" w:rsidR="00933E90" w:rsidRPr="00295EB3" w:rsidRDefault="00933E90" w:rsidP="00D40F08">
            <w:r w:rsidRPr="00295EB3">
              <w:t xml:space="preserve">It was suggested that more could be done to </w:t>
            </w:r>
            <w:r w:rsidR="001207A6">
              <w:t xml:space="preserve">consider co-ordination of conferences, for example </w:t>
            </w:r>
            <w:r w:rsidRPr="00295EB3">
              <w:t xml:space="preserve">CPC </w:t>
            </w:r>
            <w:r w:rsidR="001207A6">
              <w:t xml:space="preserve">north </w:t>
            </w:r>
            <w:r w:rsidRPr="00295EB3">
              <w:t>and RPS conferences are very close together and attracting many of the same cohorts.  HW agreed to feed this back to RPS.</w:t>
            </w:r>
          </w:p>
          <w:p w14:paraId="618582F0" w14:textId="77777777" w:rsidR="00933E90" w:rsidRPr="00295EB3" w:rsidRDefault="00933E90" w:rsidP="00D40F08"/>
          <w:p w14:paraId="2477AFBF" w14:textId="77777777" w:rsidR="00933E90" w:rsidRDefault="00933E90" w:rsidP="00D40F08">
            <w:r w:rsidRPr="00295EB3">
              <w:t>The Chair thanked all those who were standing down for their time and contribution to the group.  HW added her thanks too.</w:t>
            </w:r>
          </w:p>
          <w:p w14:paraId="02C979A8" w14:textId="49DEEB41" w:rsidR="00295EB3" w:rsidRPr="007C743A" w:rsidRDefault="00295EB3" w:rsidP="00D40F08">
            <w:pPr>
              <w:rPr>
                <w:i/>
                <w:iCs/>
              </w:rPr>
            </w:pPr>
          </w:p>
        </w:tc>
      </w:tr>
    </w:tbl>
    <w:p w14:paraId="087DC9CB" w14:textId="7C1CDCA5" w:rsidR="00D40F08" w:rsidRDefault="542A3591" w:rsidP="0007726C">
      <w:pPr>
        <w:spacing w:after="0"/>
      </w:pPr>
      <w:r>
        <w:lastRenderedPageBreak/>
        <w:t xml:space="preserve">  </w:t>
      </w:r>
    </w:p>
    <w:p w14:paraId="2A4B0696" w14:textId="0FB38516" w:rsidR="00B71420" w:rsidRPr="0044432F" w:rsidRDefault="001207A6" w:rsidP="7B5E0B07">
      <w:pPr>
        <w:keepNext/>
        <w:keepLines/>
        <w:pBdr>
          <w:bottom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rPr>
      </w:pPr>
      <w:r>
        <w:rPr>
          <w:rFonts w:asciiTheme="majorHAnsi" w:eastAsiaTheme="majorEastAsia" w:hAnsiTheme="majorHAnsi" w:cstheme="majorBidi"/>
          <w:b/>
          <w:bCs/>
          <w:color w:val="000000" w:themeColor="text1"/>
          <w:sz w:val="26"/>
          <w:szCs w:val="26"/>
        </w:rPr>
        <w:t>6</w:t>
      </w:r>
      <w:r w:rsidR="7B5E0B07" w:rsidRPr="7B5E0B07">
        <w:rPr>
          <w:rFonts w:asciiTheme="majorHAnsi" w:eastAsiaTheme="majorEastAsia" w:hAnsiTheme="majorHAnsi" w:cstheme="majorBidi"/>
          <w:b/>
          <w:bCs/>
          <w:color w:val="000000" w:themeColor="text1"/>
          <w:sz w:val="26"/>
          <w:szCs w:val="26"/>
        </w:rPr>
        <w:t xml:space="preserve">: AOB and summary </w:t>
      </w:r>
      <w:r w:rsidR="7B5E0B07">
        <w:t>(</w:t>
      </w:r>
      <w:r w:rsidR="7B5E0B07" w:rsidRPr="7B5E0B07">
        <w:rPr>
          <w:rFonts w:asciiTheme="majorHAnsi" w:eastAsiaTheme="majorEastAsia" w:hAnsiTheme="majorHAnsi" w:cstheme="majorBidi"/>
          <w:b/>
          <w:bCs/>
          <w:color w:val="000000" w:themeColor="text1"/>
          <w:sz w:val="26"/>
          <w:szCs w:val="26"/>
        </w:rPr>
        <w:t>10 mins) -  Anne Thomson</w:t>
      </w:r>
    </w:p>
    <w:tbl>
      <w:tblPr>
        <w:tblStyle w:val="TableGrid"/>
        <w:tblW w:w="9016" w:type="dxa"/>
        <w:tblLook w:val="04A0" w:firstRow="1" w:lastRow="0" w:firstColumn="1" w:lastColumn="0" w:noHBand="0" w:noVBand="1"/>
      </w:tblPr>
      <w:tblGrid>
        <w:gridCol w:w="1365"/>
        <w:gridCol w:w="7651"/>
      </w:tblGrid>
      <w:tr w:rsidR="00B71420" w14:paraId="1974D4BE" w14:textId="77777777" w:rsidTr="7FE6131F">
        <w:trPr>
          <w:trHeight w:val="365"/>
        </w:trPr>
        <w:tc>
          <w:tcPr>
            <w:tcW w:w="1365" w:type="dxa"/>
          </w:tcPr>
          <w:p w14:paraId="1B4866D6" w14:textId="77777777" w:rsidR="00B71420" w:rsidRPr="0089288F" w:rsidRDefault="00B71420" w:rsidP="00365528">
            <w:pPr>
              <w:rPr>
                <w:rFonts w:cstheme="minorHAnsi"/>
                <w:b/>
                <w:bCs/>
              </w:rPr>
            </w:pPr>
            <w:r w:rsidRPr="0089288F">
              <w:rPr>
                <w:rFonts w:cstheme="minorHAnsi"/>
                <w:b/>
                <w:bCs/>
              </w:rPr>
              <w:t>Description</w:t>
            </w:r>
          </w:p>
        </w:tc>
        <w:tc>
          <w:tcPr>
            <w:tcW w:w="7651" w:type="dxa"/>
          </w:tcPr>
          <w:p w14:paraId="439DD803" w14:textId="21596CF6" w:rsidR="00933E90" w:rsidRPr="00933E90" w:rsidRDefault="00933E90" w:rsidP="00933E90">
            <w:pPr>
              <w:pStyle w:val="PlainText"/>
              <w:rPr>
                <w:rFonts w:asciiTheme="minorHAnsi" w:hAnsiTheme="minorHAnsi" w:cstheme="minorHAnsi"/>
                <w:i/>
                <w:iCs/>
                <w:sz w:val="22"/>
                <w:szCs w:val="22"/>
              </w:rPr>
            </w:pPr>
          </w:p>
        </w:tc>
      </w:tr>
      <w:tr w:rsidR="00B71420" w14:paraId="3F5F1F08" w14:textId="77777777" w:rsidTr="7FE6131F">
        <w:trPr>
          <w:trHeight w:val="568"/>
        </w:trPr>
        <w:tc>
          <w:tcPr>
            <w:tcW w:w="1365" w:type="dxa"/>
          </w:tcPr>
          <w:p w14:paraId="321234D9" w14:textId="77777777" w:rsidR="00B71420" w:rsidRPr="0089288F" w:rsidRDefault="00B71420" w:rsidP="00365528">
            <w:pPr>
              <w:rPr>
                <w:b/>
                <w:bCs/>
              </w:rPr>
            </w:pPr>
            <w:r w:rsidRPr="0089288F">
              <w:rPr>
                <w:b/>
                <w:bCs/>
              </w:rPr>
              <w:t>Purpose</w:t>
            </w:r>
          </w:p>
        </w:tc>
        <w:tc>
          <w:tcPr>
            <w:tcW w:w="7651" w:type="dxa"/>
          </w:tcPr>
          <w:p w14:paraId="7F8228AB" w14:textId="30B2C2D3" w:rsidR="00B71420" w:rsidRPr="0089288F" w:rsidRDefault="00B71420" w:rsidP="00365528">
            <w:pPr>
              <w:shd w:val="clear" w:color="auto" w:fill="FFFFFF"/>
              <w:jc w:val="both"/>
              <w:outlineLvl w:val="0"/>
              <w:rPr>
                <w:rFonts w:ascii="Calibri" w:hAnsi="Calibri" w:cs="Calibri"/>
              </w:rPr>
            </w:pPr>
          </w:p>
        </w:tc>
      </w:tr>
      <w:tr w:rsidR="00B71420" w14:paraId="60426DF8" w14:textId="77777777" w:rsidTr="7FE6131F">
        <w:trPr>
          <w:trHeight w:val="528"/>
        </w:trPr>
        <w:tc>
          <w:tcPr>
            <w:tcW w:w="1365" w:type="dxa"/>
          </w:tcPr>
          <w:p w14:paraId="3F3659F0" w14:textId="77777777" w:rsidR="00B71420" w:rsidRPr="0089288F" w:rsidRDefault="00B71420" w:rsidP="00365528">
            <w:pPr>
              <w:rPr>
                <w:b/>
                <w:bCs/>
              </w:rPr>
            </w:pPr>
            <w:r w:rsidRPr="0089288F">
              <w:rPr>
                <w:b/>
                <w:bCs/>
              </w:rPr>
              <w:t>Outcomes</w:t>
            </w:r>
          </w:p>
        </w:tc>
        <w:tc>
          <w:tcPr>
            <w:tcW w:w="7651" w:type="dxa"/>
          </w:tcPr>
          <w:p w14:paraId="054E14BF" w14:textId="77777777" w:rsidR="00933E90" w:rsidRPr="00295EB3" w:rsidRDefault="00933E90" w:rsidP="00933E90">
            <w:pPr>
              <w:pStyle w:val="PlainText"/>
              <w:rPr>
                <w:rFonts w:asciiTheme="minorHAnsi" w:hAnsiTheme="minorHAnsi" w:cstheme="minorHAnsi"/>
                <w:sz w:val="22"/>
                <w:szCs w:val="22"/>
              </w:rPr>
            </w:pPr>
            <w:r w:rsidRPr="00295EB3">
              <w:rPr>
                <w:rFonts w:asciiTheme="minorHAnsi" w:hAnsiTheme="minorHAnsi" w:cstheme="minorHAnsi"/>
                <w:sz w:val="22"/>
                <w:szCs w:val="22"/>
              </w:rPr>
              <w:t>HW suggested that a meeting should be held in December to welcome the new members of the group.  The group were in favour of this.</w:t>
            </w:r>
          </w:p>
          <w:p w14:paraId="1F7E99A3" w14:textId="77777777" w:rsidR="00933E90" w:rsidRPr="00295EB3" w:rsidRDefault="00933E90" w:rsidP="00933E90">
            <w:pPr>
              <w:pStyle w:val="PlainText"/>
              <w:rPr>
                <w:rFonts w:asciiTheme="minorHAnsi" w:hAnsiTheme="minorHAnsi" w:cstheme="minorHAnsi"/>
                <w:sz w:val="22"/>
                <w:szCs w:val="22"/>
              </w:rPr>
            </w:pPr>
            <w:r w:rsidRPr="00295EB3">
              <w:rPr>
                <w:rFonts w:asciiTheme="minorHAnsi" w:hAnsiTheme="minorHAnsi" w:cstheme="minorHAnsi"/>
                <w:b/>
                <w:bCs/>
                <w:sz w:val="22"/>
                <w:szCs w:val="22"/>
              </w:rPr>
              <w:t>Action</w:t>
            </w:r>
            <w:r w:rsidRPr="00295EB3">
              <w:rPr>
                <w:rFonts w:asciiTheme="minorHAnsi" w:hAnsiTheme="minorHAnsi" w:cstheme="minorHAnsi"/>
                <w:sz w:val="22"/>
                <w:szCs w:val="22"/>
              </w:rPr>
              <w:t>:  HW to circulate a date for December.</w:t>
            </w:r>
          </w:p>
          <w:p w14:paraId="23251279" w14:textId="56D8C92C" w:rsidR="00B71420" w:rsidRPr="0089288F" w:rsidRDefault="00B71420" w:rsidP="00AB2248">
            <w:pPr>
              <w:rPr>
                <w:i/>
                <w:iCs/>
              </w:rPr>
            </w:pPr>
          </w:p>
        </w:tc>
      </w:tr>
    </w:tbl>
    <w:p w14:paraId="13BBE4F3" w14:textId="77777777" w:rsidR="00B71420" w:rsidRDefault="00B71420" w:rsidP="00A75C94">
      <w:pPr>
        <w:spacing w:after="0"/>
      </w:pPr>
    </w:p>
    <w:p w14:paraId="02427C9F" w14:textId="5DBB6002" w:rsidR="3CF62954" w:rsidRDefault="3CF62954" w:rsidP="3CF62954">
      <w:pPr>
        <w:spacing w:after="0"/>
      </w:pPr>
      <w:r>
        <w:t>Future Dates of PCPEAG meetings</w:t>
      </w:r>
      <w:r w:rsidR="003021FF">
        <w:t xml:space="preserve"> for 2025 tbc</w:t>
      </w:r>
    </w:p>
    <w:p w14:paraId="3CA7CB7E" w14:textId="54C74D85" w:rsidR="3CF62954" w:rsidRPr="003021FF" w:rsidRDefault="3CF62954" w:rsidP="003021FF">
      <w:pPr>
        <w:spacing w:after="0"/>
        <w:rPr>
          <w:rFonts w:ascii="Arial" w:eastAsia="Arial" w:hAnsi="Arial" w:cs="Arial"/>
          <w:sz w:val="20"/>
          <w:szCs w:val="20"/>
        </w:rPr>
      </w:pPr>
    </w:p>
    <w:sectPr w:rsidR="3CF62954" w:rsidRPr="003021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EDE83" w14:textId="77777777" w:rsidR="000770B6" w:rsidRDefault="000770B6" w:rsidP="00E14CCB">
      <w:pPr>
        <w:spacing w:after="0" w:line="240" w:lineRule="auto"/>
      </w:pPr>
      <w:r>
        <w:separator/>
      </w:r>
    </w:p>
  </w:endnote>
  <w:endnote w:type="continuationSeparator" w:id="0">
    <w:p w14:paraId="53C450D7" w14:textId="77777777" w:rsidR="000770B6" w:rsidRDefault="000770B6"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69964" w14:textId="77777777" w:rsidR="00F57CA6" w:rsidRDefault="00F5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1B992" w14:textId="77777777" w:rsidR="00F57CA6" w:rsidRDefault="00F5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B4BB" w14:textId="77777777" w:rsidR="00F57CA6" w:rsidRDefault="00F5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BBA09" w14:textId="77777777" w:rsidR="000770B6" w:rsidRDefault="000770B6" w:rsidP="00E14CCB">
      <w:pPr>
        <w:spacing w:after="0" w:line="240" w:lineRule="auto"/>
      </w:pPr>
      <w:r>
        <w:separator/>
      </w:r>
    </w:p>
  </w:footnote>
  <w:footnote w:type="continuationSeparator" w:id="0">
    <w:p w14:paraId="398CFA76" w14:textId="77777777" w:rsidR="000770B6" w:rsidRDefault="000770B6"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D3C62" w14:textId="77777777" w:rsidR="00F57CA6" w:rsidRDefault="00F5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D312C" w14:textId="1B373708"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486F0" w14:textId="77777777" w:rsidR="00F57CA6" w:rsidRDefault="00F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911C0C"/>
    <w:multiLevelType w:val="hybridMultilevel"/>
    <w:tmpl w:val="749279AC"/>
    <w:lvl w:ilvl="0" w:tplc="466AA08A">
      <w:start w:val="1"/>
      <w:numFmt w:val="bullet"/>
      <w:lvlText w:val=""/>
      <w:lvlJc w:val="left"/>
      <w:pPr>
        <w:ind w:left="720" w:hanging="360"/>
      </w:pPr>
      <w:rPr>
        <w:rFonts w:ascii="Symbol" w:hAnsi="Symbol" w:hint="default"/>
      </w:rPr>
    </w:lvl>
    <w:lvl w:ilvl="1" w:tplc="67C203CA">
      <w:start w:val="1"/>
      <w:numFmt w:val="bullet"/>
      <w:lvlText w:val="o"/>
      <w:lvlJc w:val="left"/>
      <w:pPr>
        <w:ind w:left="1440" w:hanging="360"/>
      </w:pPr>
      <w:rPr>
        <w:rFonts w:ascii="Courier New" w:hAnsi="Courier New" w:hint="default"/>
      </w:rPr>
    </w:lvl>
    <w:lvl w:ilvl="2" w:tplc="A40E5066">
      <w:start w:val="1"/>
      <w:numFmt w:val="bullet"/>
      <w:lvlText w:val=""/>
      <w:lvlJc w:val="left"/>
      <w:pPr>
        <w:ind w:left="2160" w:hanging="360"/>
      </w:pPr>
      <w:rPr>
        <w:rFonts w:ascii="Wingdings" w:hAnsi="Wingdings" w:hint="default"/>
      </w:rPr>
    </w:lvl>
    <w:lvl w:ilvl="3" w:tplc="DD3830C8">
      <w:start w:val="1"/>
      <w:numFmt w:val="bullet"/>
      <w:lvlText w:val=""/>
      <w:lvlJc w:val="left"/>
      <w:pPr>
        <w:ind w:left="2880" w:hanging="360"/>
      </w:pPr>
      <w:rPr>
        <w:rFonts w:ascii="Symbol" w:hAnsi="Symbol" w:hint="default"/>
      </w:rPr>
    </w:lvl>
    <w:lvl w:ilvl="4" w:tplc="D698233E">
      <w:start w:val="1"/>
      <w:numFmt w:val="bullet"/>
      <w:lvlText w:val="o"/>
      <w:lvlJc w:val="left"/>
      <w:pPr>
        <w:ind w:left="3600" w:hanging="360"/>
      </w:pPr>
      <w:rPr>
        <w:rFonts w:ascii="Courier New" w:hAnsi="Courier New" w:hint="default"/>
      </w:rPr>
    </w:lvl>
    <w:lvl w:ilvl="5" w:tplc="8AFA029A">
      <w:start w:val="1"/>
      <w:numFmt w:val="bullet"/>
      <w:lvlText w:val=""/>
      <w:lvlJc w:val="left"/>
      <w:pPr>
        <w:ind w:left="4320" w:hanging="360"/>
      </w:pPr>
      <w:rPr>
        <w:rFonts w:ascii="Wingdings" w:hAnsi="Wingdings" w:hint="default"/>
      </w:rPr>
    </w:lvl>
    <w:lvl w:ilvl="6" w:tplc="41E66860">
      <w:start w:val="1"/>
      <w:numFmt w:val="bullet"/>
      <w:lvlText w:val=""/>
      <w:lvlJc w:val="left"/>
      <w:pPr>
        <w:ind w:left="5040" w:hanging="360"/>
      </w:pPr>
      <w:rPr>
        <w:rFonts w:ascii="Symbol" w:hAnsi="Symbol" w:hint="default"/>
      </w:rPr>
    </w:lvl>
    <w:lvl w:ilvl="7" w:tplc="ACDE7482">
      <w:start w:val="1"/>
      <w:numFmt w:val="bullet"/>
      <w:lvlText w:val="o"/>
      <w:lvlJc w:val="left"/>
      <w:pPr>
        <w:ind w:left="5760" w:hanging="360"/>
      </w:pPr>
      <w:rPr>
        <w:rFonts w:ascii="Courier New" w:hAnsi="Courier New" w:hint="default"/>
      </w:rPr>
    </w:lvl>
    <w:lvl w:ilvl="8" w:tplc="375C0D92">
      <w:start w:val="1"/>
      <w:numFmt w:val="bullet"/>
      <w:lvlText w:val=""/>
      <w:lvlJc w:val="left"/>
      <w:pPr>
        <w:ind w:left="6480" w:hanging="360"/>
      </w:pPr>
      <w:rPr>
        <w:rFonts w:ascii="Wingdings" w:hAnsi="Wingdings" w:hint="default"/>
      </w:rPr>
    </w:lvl>
  </w:abstractNum>
  <w:abstractNum w:abstractNumId="5" w15:restartNumberingAfterBreak="0">
    <w:nsid w:val="1D310E52"/>
    <w:multiLevelType w:val="hybridMultilevel"/>
    <w:tmpl w:val="013A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F3D1B"/>
    <w:multiLevelType w:val="hybridMultilevel"/>
    <w:tmpl w:val="FEC0CAA0"/>
    <w:lvl w:ilvl="0" w:tplc="733EA46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3C48FB"/>
    <w:multiLevelType w:val="hybridMultilevel"/>
    <w:tmpl w:val="F9C8025A"/>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838C6"/>
    <w:multiLevelType w:val="hybridMultilevel"/>
    <w:tmpl w:val="A0B8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463BE"/>
    <w:multiLevelType w:val="hybridMultilevel"/>
    <w:tmpl w:val="E8C46D6A"/>
    <w:lvl w:ilvl="0" w:tplc="5238B3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F798B"/>
    <w:multiLevelType w:val="hybridMultilevel"/>
    <w:tmpl w:val="4850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357C43"/>
    <w:multiLevelType w:val="hybridMultilevel"/>
    <w:tmpl w:val="D15C77B4"/>
    <w:lvl w:ilvl="0" w:tplc="B8AAFAC0">
      <w:start w:val="1"/>
      <w:numFmt w:val="bullet"/>
      <w:lvlText w:val=""/>
      <w:lvlJc w:val="left"/>
      <w:pPr>
        <w:ind w:left="720" w:hanging="360"/>
      </w:pPr>
      <w:rPr>
        <w:rFonts w:ascii="Symbol" w:hAnsi="Symbol" w:hint="default"/>
      </w:rPr>
    </w:lvl>
    <w:lvl w:ilvl="1" w:tplc="48262CA4">
      <w:start w:val="1"/>
      <w:numFmt w:val="bullet"/>
      <w:lvlText w:val="o"/>
      <w:lvlJc w:val="left"/>
      <w:pPr>
        <w:ind w:left="1440" w:hanging="360"/>
      </w:pPr>
      <w:rPr>
        <w:rFonts w:ascii="Courier New" w:hAnsi="Courier New" w:hint="default"/>
      </w:rPr>
    </w:lvl>
    <w:lvl w:ilvl="2" w:tplc="07C2F374">
      <w:start w:val="1"/>
      <w:numFmt w:val="bullet"/>
      <w:lvlText w:val=""/>
      <w:lvlJc w:val="left"/>
      <w:pPr>
        <w:ind w:left="2160" w:hanging="360"/>
      </w:pPr>
      <w:rPr>
        <w:rFonts w:ascii="Wingdings" w:hAnsi="Wingdings" w:hint="default"/>
      </w:rPr>
    </w:lvl>
    <w:lvl w:ilvl="3" w:tplc="565460C4">
      <w:start w:val="1"/>
      <w:numFmt w:val="bullet"/>
      <w:lvlText w:val=""/>
      <w:lvlJc w:val="left"/>
      <w:pPr>
        <w:ind w:left="2880" w:hanging="360"/>
      </w:pPr>
      <w:rPr>
        <w:rFonts w:ascii="Symbol" w:hAnsi="Symbol" w:hint="default"/>
      </w:rPr>
    </w:lvl>
    <w:lvl w:ilvl="4" w:tplc="D19CCF6A">
      <w:start w:val="1"/>
      <w:numFmt w:val="bullet"/>
      <w:lvlText w:val="o"/>
      <w:lvlJc w:val="left"/>
      <w:pPr>
        <w:ind w:left="3600" w:hanging="360"/>
      </w:pPr>
      <w:rPr>
        <w:rFonts w:ascii="Courier New" w:hAnsi="Courier New" w:hint="default"/>
      </w:rPr>
    </w:lvl>
    <w:lvl w:ilvl="5" w:tplc="90C6694A">
      <w:start w:val="1"/>
      <w:numFmt w:val="bullet"/>
      <w:lvlText w:val=""/>
      <w:lvlJc w:val="left"/>
      <w:pPr>
        <w:ind w:left="4320" w:hanging="360"/>
      </w:pPr>
      <w:rPr>
        <w:rFonts w:ascii="Wingdings" w:hAnsi="Wingdings" w:hint="default"/>
      </w:rPr>
    </w:lvl>
    <w:lvl w:ilvl="6" w:tplc="98F8F9B0">
      <w:start w:val="1"/>
      <w:numFmt w:val="bullet"/>
      <w:lvlText w:val=""/>
      <w:lvlJc w:val="left"/>
      <w:pPr>
        <w:ind w:left="5040" w:hanging="360"/>
      </w:pPr>
      <w:rPr>
        <w:rFonts w:ascii="Symbol" w:hAnsi="Symbol" w:hint="default"/>
      </w:rPr>
    </w:lvl>
    <w:lvl w:ilvl="7" w:tplc="9746DC36">
      <w:start w:val="1"/>
      <w:numFmt w:val="bullet"/>
      <w:lvlText w:val="o"/>
      <w:lvlJc w:val="left"/>
      <w:pPr>
        <w:ind w:left="5760" w:hanging="360"/>
      </w:pPr>
      <w:rPr>
        <w:rFonts w:ascii="Courier New" w:hAnsi="Courier New" w:hint="default"/>
      </w:rPr>
    </w:lvl>
    <w:lvl w:ilvl="8" w:tplc="8FFAF460">
      <w:start w:val="1"/>
      <w:numFmt w:val="bullet"/>
      <w:lvlText w:val=""/>
      <w:lvlJc w:val="left"/>
      <w:pPr>
        <w:ind w:left="6480" w:hanging="360"/>
      </w:pPr>
      <w:rPr>
        <w:rFonts w:ascii="Wingdings" w:hAnsi="Wingdings" w:hint="default"/>
      </w:rPr>
    </w:lvl>
  </w:abstractNum>
  <w:abstractNum w:abstractNumId="15" w15:restartNumberingAfterBreak="0">
    <w:nsid w:val="59FE25A5"/>
    <w:multiLevelType w:val="hybridMultilevel"/>
    <w:tmpl w:val="A13CEE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A31182"/>
    <w:multiLevelType w:val="hybridMultilevel"/>
    <w:tmpl w:val="9A00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40102"/>
    <w:multiLevelType w:val="hybridMultilevel"/>
    <w:tmpl w:val="181A1906"/>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9F54AF"/>
    <w:multiLevelType w:val="hybridMultilevel"/>
    <w:tmpl w:val="078A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0879489">
    <w:abstractNumId w:val="4"/>
  </w:num>
  <w:num w:numId="2" w16cid:durableId="1469861463">
    <w:abstractNumId w:val="14"/>
  </w:num>
  <w:num w:numId="3" w16cid:durableId="428359493">
    <w:abstractNumId w:val="12"/>
  </w:num>
  <w:num w:numId="4" w16cid:durableId="1600333723">
    <w:abstractNumId w:val="16"/>
  </w:num>
  <w:num w:numId="5" w16cid:durableId="422608730">
    <w:abstractNumId w:val="17"/>
  </w:num>
  <w:num w:numId="6" w16cid:durableId="1873377491">
    <w:abstractNumId w:val="21"/>
  </w:num>
  <w:num w:numId="7" w16cid:durableId="1765491290">
    <w:abstractNumId w:val="1"/>
  </w:num>
  <w:num w:numId="8" w16cid:durableId="687372866">
    <w:abstractNumId w:val="3"/>
  </w:num>
  <w:num w:numId="9" w16cid:durableId="342517176">
    <w:abstractNumId w:val="0"/>
  </w:num>
  <w:num w:numId="10" w16cid:durableId="1224297776">
    <w:abstractNumId w:val="13"/>
  </w:num>
  <w:num w:numId="11" w16cid:durableId="1226843299">
    <w:abstractNumId w:val="18"/>
  </w:num>
  <w:num w:numId="12" w16cid:durableId="95909134">
    <w:abstractNumId w:val="9"/>
  </w:num>
  <w:num w:numId="13" w16cid:durableId="1334260094">
    <w:abstractNumId w:val="2"/>
  </w:num>
  <w:num w:numId="14" w16cid:durableId="1925526153">
    <w:abstractNumId w:val="23"/>
  </w:num>
  <w:num w:numId="15" w16cid:durableId="201984590">
    <w:abstractNumId w:val="10"/>
  </w:num>
  <w:num w:numId="16" w16cid:durableId="1616407232">
    <w:abstractNumId w:val="6"/>
  </w:num>
  <w:num w:numId="17" w16cid:durableId="478497986">
    <w:abstractNumId w:val="20"/>
  </w:num>
  <w:num w:numId="18" w16cid:durableId="514727754">
    <w:abstractNumId w:val="7"/>
  </w:num>
  <w:num w:numId="19" w16cid:durableId="549346689">
    <w:abstractNumId w:val="11"/>
  </w:num>
  <w:num w:numId="20" w16cid:durableId="987053139">
    <w:abstractNumId w:val="5"/>
  </w:num>
  <w:num w:numId="21" w16cid:durableId="1537237940">
    <w:abstractNumId w:val="19"/>
  </w:num>
  <w:num w:numId="22" w16cid:durableId="416755572">
    <w:abstractNumId w:val="15"/>
  </w:num>
  <w:num w:numId="23" w16cid:durableId="2069575779">
    <w:abstractNumId w:val="22"/>
  </w:num>
  <w:num w:numId="24" w16cid:durableId="200168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1C6A"/>
    <w:rsid w:val="0002090B"/>
    <w:rsid w:val="00024749"/>
    <w:rsid w:val="00024F7C"/>
    <w:rsid w:val="000252C2"/>
    <w:rsid w:val="00035C75"/>
    <w:rsid w:val="0004053B"/>
    <w:rsid w:val="0004414A"/>
    <w:rsid w:val="00046FE2"/>
    <w:rsid w:val="00070D06"/>
    <w:rsid w:val="00076F9A"/>
    <w:rsid w:val="000770B6"/>
    <w:rsid w:val="0007726C"/>
    <w:rsid w:val="00087631"/>
    <w:rsid w:val="000877BA"/>
    <w:rsid w:val="000A0C1D"/>
    <w:rsid w:val="000B22F5"/>
    <w:rsid w:val="000B43CF"/>
    <w:rsid w:val="000C3BA1"/>
    <w:rsid w:val="000C5A09"/>
    <w:rsid w:val="000C6B08"/>
    <w:rsid w:val="000C7A2D"/>
    <w:rsid w:val="001207A6"/>
    <w:rsid w:val="00121176"/>
    <w:rsid w:val="001229C8"/>
    <w:rsid w:val="0015099B"/>
    <w:rsid w:val="001527E0"/>
    <w:rsid w:val="00176C8A"/>
    <w:rsid w:val="0018241C"/>
    <w:rsid w:val="00183BA0"/>
    <w:rsid w:val="001B138E"/>
    <w:rsid w:val="001C4D17"/>
    <w:rsid w:val="001E764A"/>
    <w:rsid w:val="001F6DF3"/>
    <w:rsid w:val="00206511"/>
    <w:rsid w:val="0022508F"/>
    <w:rsid w:val="002374E0"/>
    <w:rsid w:val="0024040F"/>
    <w:rsid w:val="00246364"/>
    <w:rsid w:val="00246A47"/>
    <w:rsid w:val="00262DBA"/>
    <w:rsid w:val="0026426F"/>
    <w:rsid w:val="00267351"/>
    <w:rsid w:val="00295EB3"/>
    <w:rsid w:val="00296ACA"/>
    <w:rsid w:val="002A1814"/>
    <w:rsid w:val="002B7F1E"/>
    <w:rsid w:val="002C39A3"/>
    <w:rsid w:val="002E409B"/>
    <w:rsid w:val="002F52A6"/>
    <w:rsid w:val="003021FF"/>
    <w:rsid w:val="003058A6"/>
    <w:rsid w:val="00327C7D"/>
    <w:rsid w:val="00330E61"/>
    <w:rsid w:val="00331BD5"/>
    <w:rsid w:val="00346E9A"/>
    <w:rsid w:val="00355A75"/>
    <w:rsid w:val="00357E03"/>
    <w:rsid w:val="00373BF8"/>
    <w:rsid w:val="00382E8B"/>
    <w:rsid w:val="00384591"/>
    <w:rsid w:val="0038711B"/>
    <w:rsid w:val="003C0113"/>
    <w:rsid w:val="003C742E"/>
    <w:rsid w:val="003D2558"/>
    <w:rsid w:val="003E5E96"/>
    <w:rsid w:val="003F6B7D"/>
    <w:rsid w:val="00406D39"/>
    <w:rsid w:val="00406F24"/>
    <w:rsid w:val="0041014A"/>
    <w:rsid w:val="004130F1"/>
    <w:rsid w:val="004152D5"/>
    <w:rsid w:val="00416B8E"/>
    <w:rsid w:val="00417A2D"/>
    <w:rsid w:val="004237B3"/>
    <w:rsid w:val="00425828"/>
    <w:rsid w:val="0044432F"/>
    <w:rsid w:val="004549B4"/>
    <w:rsid w:val="00461ECB"/>
    <w:rsid w:val="004712F0"/>
    <w:rsid w:val="00493031"/>
    <w:rsid w:val="004A4074"/>
    <w:rsid w:val="004A76F5"/>
    <w:rsid w:val="004C24B2"/>
    <w:rsid w:val="004C4897"/>
    <w:rsid w:val="004D503E"/>
    <w:rsid w:val="004E3778"/>
    <w:rsid w:val="004E5615"/>
    <w:rsid w:val="004F6BD6"/>
    <w:rsid w:val="00500E39"/>
    <w:rsid w:val="0051027F"/>
    <w:rsid w:val="00523034"/>
    <w:rsid w:val="00530FA9"/>
    <w:rsid w:val="00552F44"/>
    <w:rsid w:val="0056385B"/>
    <w:rsid w:val="0057039E"/>
    <w:rsid w:val="005734B9"/>
    <w:rsid w:val="005B065E"/>
    <w:rsid w:val="005B586C"/>
    <w:rsid w:val="005C5C58"/>
    <w:rsid w:val="005C6BB9"/>
    <w:rsid w:val="005D12E6"/>
    <w:rsid w:val="005E3EA7"/>
    <w:rsid w:val="005F3EF1"/>
    <w:rsid w:val="005F7189"/>
    <w:rsid w:val="0061467C"/>
    <w:rsid w:val="006255E1"/>
    <w:rsid w:val="00634AB0"/>
    <w:rsid w:val="006363F0"/>
    <w:rsid w:val="00692FEC"/>
    <w:rsid w:val="00696DD6"/>
    <w:rsid w:val="006B567E"/>
    <w:rsid w:val="006B7EE1"/>
    <w:rsid w:val="006C726C"/>
    <w:rsid w:val="006C7D41"/>
    <w:rsid w:val="006D0ABB"/>
    <w:rsid w:val="006F15D8"/>
    <w:rsid w:val="006F2D7B"/>
    <w:rsid w:val="0072482C"/>
    <w:rsid w:val="007510AD"/>
    <w:rsid w:val="00764B07"/>
    <w:rsid w:val="0077311F"/>
    <w:rsid w:val="00776282"/>
    <w:rsid w:val="00782D7B"/>
    <w:rsid w:val="00783A0E"/>
    <w:rsid w:val="00787DBB"/>
    <w:rsid w:val="007913BF"/>
    <w:rsid w:val="00793075"/>
    <w:rsid w:val="00794790"/>
    <w:rsid w:val="007B0487"/>
    <w:rsid w:val="007B312E"/>
    <w:rsid w:val="007C0870"/>
    <w:rsid w:val="007C35CF"/>
    <w:rsid w:val="007C743A"/>
    <w:rsid w:val="007D1116"/>
    <w:rsid w:val="007E1598"/>
    <w:rsid w:val="007E5BEC"/>
    <w:rsid w:val="007F622D"/>
    <w:rsid w:val="007F69C7"/>
    <w:rsid w:val="00803D73"/>
    <w:rsid w:val="008333F8"/>
    <w:rsid w:val="00836EE8"/>
    <w:rsid w:val="00854AC4"/>
    <w:rsid w:val="00864A2F"/>
    <w:rsid w:val="00873252"/>
    <w:rsid w:val="00873290"/>
    <w:rsid w:val="0088199B"/>
    <w:rsid w:val="00884BFD"/>
    <w:rsid w:val="008927DB"/>
    <w:rsid w:val="0089288F"/>
    <w:rsid w:val="00894E62"/>
    <w:rsid w:val="008E389E"/>
    <w:rsid w:val="00907617"/>
    <w:rsid w:val="00911673"/>
    <w:rsid w:val="0091423A"/>
    <w:rsid w:val="0093351D"/>
    <w:rsid w:val="00933E90"/>
    <w:rsid w:val="009644BF"/>
    <w:rsid w:val="0096798E"/>
    <w:rsid w:val="00990A5F"/>
    <w:rsid w:val="009A7AAB"/>
    <w:rsid w:val="00A21384"/>
    <w:rsid w:val="00A60E8E"/>
    <w:rsid w:val="00A73729"/>
    <w:rsid w:val="00A75C94"/>
    <w:rsid w:val="00A94A2E"/>
    <w:rsid w:val="00A9542E"/>
    <w:rsid w:val="00AB2248"/>
    <w:rsid w:val="00AB2987"/>
    <w:rsid w:val="00AC0548"/>
    <w:rsid w:val="00AC7955"/>
    <w:rsid w:val="00AD17D0"/>
    <w:rsid w:val="00AE5625"/>
    <w:rsid w:val="00B01DCF"/>
    <w:rsid w:val="00B2460C"/>
    <w:rsid w:val="00B27D84"/>
    <w:rsid w:val="00B34421"/>
    <w:rsid w:val="00B54907"/>
    <w:rsid w:val="00B653A2"/>
    <w:rsid w:val="00B71420"/>
    <w:rsid w:val="00B91B5C"/>
    <w:rsid w:val="00B95E6F"/>
    <w:rsid w:val="00BA5671"/>
    <w:rsid w:val="00BA6489"/>
    <w:rsid w:val="00BC37AC"/>
    <w:rsid w:val="00BC5A69"/>
    <w:rsid w:val="00BD2248"/>
    <w:rsid w:val="00BD4746"/>
    <w:rsid w:val="00BD5AB6"/>
    <w:rsid w:val="00BE5822"/>
    <w:rsid w:val="00BF5B3B"/>
    <w:rsid w:val="00C0229B"/>
    <w:rsid w:val="00C03D08"/>
    <w:rsid w:val="00C2084A"/>
    <w:rsid w:val="00C2595E"/>
    <w:rsid w:val="00C261E6"/>
    <w:rsid w:val="00C26205"/>
    <w:rsid w:val="00C35C46"/>
    <w:rsid w:val="00C56277"/>
    <w:rsid w:val="00C5682A"/>
    <w:rsid w:val="00C575DE"/>
    <w:rsid w:val="00C77D73"/>
    <w:rsid w:val="00C834C9"/>
    <w:rsid w:val="00C90D6E"/>
    <w:rsid w:val="00C97A6A"/>
    <w:rsid w:val="00CA4263"/>
    <w:rsid w:val="00CA621E"/>
    <w:rsid w:val="00CC7679"/>
    <w:rsid w:val="00CE1007"/>
    <w:rsid w:val="00CF0B7F"/>
    <w:rsid w:val="00CF2522"/>
    <w:rsid w:val="00CF490F"/>
    <w:rsid w:val="00CF6E57"/>
    <w:rsid w:val="00D06CE2"/>
    <w:rsid w:val="00D11AB4"/>
    <w:rsid w:val="00D124EE"/>
    <w:rsid w:val="00D132B8"/>
    <w:rsid w:val="00D14202"/>
    <w:rsid w:val="00D219DE"/>
    <w:rsid w:val="00D40F08"/>
    <w:rsid w:val="00D43CB3"/>
    <w:rsid w:val="00D560DC"/>
    <w:rsid w:val="00D70791"/>
    <w:rsid w:val="00D741C7"/>
    <w:rsid w:val="00D77B9C"/>
    <w:rsid w:val="00D815BF"/>
    <w:rsid w:val="00D85F11"/>
    <w:rsid w:val="00D949D6"/>
    <w:rsid w:val="00D97C21"/>
    <w:rsid w:val="00DA48C2"/>
    <w:rsid w:val="00DB05F0"/>
    <w:rsid w:val="00DB2E68"/>
    <w:rsid w:val="00DC20FA"/>
    <w:rsid w:val="00DE19B1"/>
    <w:rsid w:val="00E14CCB"/>
    <w:rsid w:val="00E22779"/>
    <w:rsid w:val="00E350BA"/>
    <w:rsid w:val="00E71ACA"/>
    <w:rsid w:val="00E836F9"/>
    <w:rsid w:val="00E84C58"/>
    <w:rsid w:val="00E963C8"/>
    <w:rsid w:val="00EA01DF"/>
    <w:rsid w:val="00EB05A0"/>
    <w:rsid w:val="00EC1F3D"/>
    <w:rsid w:val="00EC55EE"/>
    <w:rsid w:val="00ED2B68"/>
    <w:rsid w:val="00ED30E1"/>
    <w:rsid w:val="00F12F89"/>
    <w:rsid w:val="00F13470"/>
    <w:rsid w:val="00F2470C"/>
    <w:rsid w:val="00F270BE"/>
    <w:rsid w:val="00F27759"/>
    <w:rsid w:val="00F41A50"/>
    <w:rsid w:val="00F41DFD"/>
    <w:rsid w:val="00F57CA6"/>
    <w:rsid w:val="00F63C83"/>
    <w:rsid w:val="00F705C9"/>
    <w:rsid w:val="00F728DB"/>
    <w:rsid w:val="00F76B78"/>
    <w:rsid w:val="00FA408B"/>
    <w:rsid w:val="00FD5136"/>
    <w:rsid w:val="00FE4C3F"/>
    <w:rsid w:val="00FE789D"/>
    <w:rsid w:val="00FF3C6B"/>
    <w:rsid w:val="12D28305"/>
    <w:rsid w:val="1CEEC284"/>
    <w:rsid w:val="2BD831D1"/>
    <w:rsid w:val="3B33032E"/>
    <w:rsid w:val="3CF62954"/>
    <w:rsid w:val="4B912CE5"/>
    <w:rsid w:val="542A3591"/>
    <w:rsid w:val="57DF0A69"/>
    <w:rsid w:val="598300E4"/>
    <w:rsid w:val="5A8CE91A"/>
    <w:rsid w:val="67C0D3AD"/>
    <w:rsid w:val="6A4E4F6E"/>
    <w:rsid w:val="6AAF4FD0"/>
    <w:rsid w:val="74196BDC"/>
    <w:rsid w:val="7540FD09"/>
    <w:rsid w:val="7B5E0B07"/>
    <w:rsid w:val="7FE61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customStyle="1" w:styleId="UnresolvedMention2">
    <w:name w:val="Unresolved Mention2"/>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customStyle="1" w:styleId="xxmsolistparagraph">
    <w:name w:val="x_x_msolistparagraph"/>
    <w:basedOn w:val="Normal"/>
    <w:rsid w:val="00CC7679"/>
    <w:pPr>
      <w:spacing w:after="0" w:line="240" w:lineRule="auto"/>
      <w:ind w:left="720"/>
    </w:pPr>
    <w:rPr>
      <w:rFonts w:ascii="Calibri" w:hAnsi="Calibri" w:cs="Calibri"/>
      <w:lang w:eastAsia="en-GB"/>
    </w:rPr>
  </w:style>
  <w:style w:type="character" w:customStyle="1" w:styleId="UnresolvedMention3">
    <w:name w:val="Unresolved Mention3"/>
    <w:basedOn w:val="DefaultParagraphFont"/>
    <w:uiPriority w:val="99"/>
    <w:semiHidden/>
    <w:unhideWhenUsed/>
    <w:rsid w:val="00001C6A"/>
    <w:rPr>
      <w:color w:val="605E5C"/>
      <w:shd w:val="clear" w:color="auto" w:fill="E1DFDD"/>
    </w:rPr>
  </w:style>
  <w:style w:type="character" w:styleId="UnresolvedMention">
    <w:name w:val="Unresolved Mention"/>
    <w:basedOn w:val="DefaultParagraphFont"/>
    <w:uiPriority w:val="99"/>
    <w:semiHidden/>
    <w:unhideWhenUsed/>
    <w:rsid w:val="0078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4373">
      <w:bodyDiv w:val="1"/>
      <w:marLeft w:val="0"/>
      <w:marRight w:val="0"/>
      <w:marTop w:val="0"/>
      <w:marBottom w:val="0"/>
      <w:divBdr>
        <w:top w:val="none" w:sz="0" w:space="0" w:color="auto"/>
        <w:left w:val="none" w:sz="0" w:space="0" w:color="auto"/>
        <w:bottom w:val="none" w:sz="0" w:space="0" w:color="auto"/>
        <w:right w:val="none" w:sz="0" w:space="0" w:color="auto"/>
      </w:divBdr>
    </w:div>
    <w:div w:id="108281156">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84120697">
      <w:bodyDiv w:val="1"/>
      <w:marLeft w:val="0"/>
      <w:marRight w:val="0"/>
      <w:marTop w:val="0"/>
      <w:marBottom w:val="0"/>
      <w:divBdr>
        <w:top w:val="none" w:sz="0" w:space="0" w:color="auto"/>
        <w:left w:val="none" w:sz="0" w:space="0" w:color="auto"/>
        <w:bottom w:val="none" w:sz="0" w:space="0" w:color="auto"/>
        <w:right w:val="none" w:sz="0" w:space="0" w:color="auto"/>
      </w:divBdr>
    </w:div>
    <w:div w:id="576593176">
      <w:bodyDiv w:val="1"/>
      <w:marLeft w:val="0"/>
      <w:marRight w:val="0"/>
      <w:marTop w:val="0"/>
      <w:marBottom w:val="0"/>
      <w:divBdr>
        <w:top w:val="none" w:sz="0" w:space="0" w:color="auto"/>
        <w:left w:val="none" w:sz="0" w:space="0" w:color="auto"/>
        <w:bottom w:val="none" w:sz="0" w:space="0" w:color="auto"/>
        <w:right w:val="none" w:sz="0" w:space="0" w:color="auto"/>
      </w:divBdr>
    </w:div>
    <w:div w:id="774327173">
      <w:bodyDiv w:val="1"/>
      <w:marLeft w:val="0"/>
      <w:marRight w:val="0"/>
      <w:marTop w:val="0"/>
      <w:marBottom w:val="0"/>
      <w:divBdr>
        <w:top w:val="none" w:sz="0" w:space="0" w:color="auto"/>
        <w:left w:val="none" w:sz="0" w:space="0" w:color="auto"/>
        <w:bottom w:val="none" w:sz="0" w:space="0" w:color="auto"/>
        <w:right w:val="none" w:sz="0" w:space="0" w:color="auto"/>
      </w:divBdr>
    </w:div>
    <w:div w:id="101137320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37920915">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619214982">
      <w:bodyDiv w:val="1"/>
      <w:marLeft w:val="0"/>
      <w:marRight w:val="0"/>
      <w:marTop w:val="0"/>
      <w:marBottom w:val="0"/>
      <w:divBdr>
        <w:top w:val="none" w:sz="0" w:space="0" w:color="auto"/>
        <w:left w:val="none" w:sz="0" w:space="0" w:color="auto"/>
        <w:bottom w:val="none" w:sz="0" w:space="0" w:color="auto"/>
        <w:right w:val="none" w:sz="0" w:space="0" w:color="auto"/>
      </w:divBdr>
    </w:div>
    <w:div w:id="1634679658">
      <w:bodyDiv w:val="1"/>
      <w:marLeft w:val="0"/>
      <w:marRight w:val="0"/>
      <w:marTop w:val="0"/>
      <w:marBottom w:val="0"/>
      <w:divBdr>
        <w:top w:val="none" w:sz="0" w:space="0" w:color="auto"/>
        <w:left w:val="none" w:sz="0" w:space="0" w:color="auto"/>
        <w:bottom w:val="none" w:sz="0" w:space="0" w:color="auto"/>
        <w:right w:val="none" w:sz="0" w:space="0" w:color="auto"/>
      </w:divBdr>
    </w:div>
    <w:div w:id="177177478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19457283">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ona.mcintyre@rpharm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Heidi Wright</cp:lastModifiedBy>
  <cp:revision>5</cp:revision>
  <dcterms:created xsi:type="dcterms:W3CDTF">2024-09-12T10:27:00Z</dcterms:created>
  <dcterms:modified xsi:type="dcterms:W3CDTF">2024-09-13T12:04:00Z</dcterms:modified>
</cp:coreProperties>
</file>