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7DBB" w:rsidP="00A85851" w:rsidRDefault="3CF62954" w14:paraId="08659CC0" w14:textId="4D8F0EAA">
      <w:pPr>
        <w:pStyle w:val="Heading1"/>
        <w:jc w:val="center"/>
        <w:rPr>
          <w:rFonts w:asciiTheme="minorHAnsi" w:hAnsiTheme="minorHAnsi" w:eastAsiaTheme="minorEastAsia" w:cstheme="minorBidi"/>
          <w:b/>
          <w:bCs/>
          <w:sz w:val="24"/>
          <w:szCs w:val="24"/>
        </w:rPr>
      </w:pPr>
      <w:r w:rsidRPr="3CF62954">
        <w:rPr>
          <w:rFonts w:asciiTheme="minorHAnsi" w:hAnsiTheme="minorHAnsi" w:eastAsiaTheme="minorEastAsia" w:cstheme="minorBidi"/>
          <w:b/>
          <w:bCs/>
          <w:sz w:val="24"/>
          <w:szCs w:val="24"/>
        </w:rPr>
        <w:t>Primary Care Pharmacy Expert Advisory Group Agenda</w:t>
      </w:r>
      <w:r w:rsidR="0048223E">
        <w:rPr>
          <w:rFonts w:asciiTheme="minorHAnsi" w:hAnsiTheme="minorHAnsi" w:eastAsiaTheme="minorEastAsia" w:cstheme="minorBidi"/>
          <w:b/>
          <w:bCs/>
          <w:sz w:val="24"/>
          <w:szCs w:val="24"/>
        </w:rPr>
        <w:t xml:space="preserve"> and Notes</w:t>
      </w:r>
    </w:p>
    <w:p w:rsidRPr="0048223E" w:rsidR="0048223E" w:rsidP="0048223E" w:rsidRDefault="0048223E" w14:paraId="1FCA2492" w14:textId="77777777"/>
    <w:p w:rsidR="00787DBB" w:rsidP="7540FD09" w:rsidRDefault="7540FD09" w14:paraId="0E8DBCCC" w14:textId="565162AD">
      <w:pPr>
        <w:spacing w:after="0"/>
        <w:rPr>
          <w:rFonts w:eastAsiaTheme="minorEastAsia"/>
          <w:b/>
          <w:bCs/>
          <w:sz w:val="24"/>
          <w:szCs w:val="24"/>
        </w:rPr>
      </w:pPr>
      <w:r w:rsidRPr="7540FD09">
        <w:rPr>
          <w:rFonts w:eastAsiaTheme="minorEastAsia"/>
          <w:b/>
          <w:bCs/>
          <w:sz w:val="24"/>
          <w:szCs w:val="24"/>
        </w:rPr>
        <w:t xml:space="preserve">Tuesday </w:t>
      </w:r>
      <w:r w:rsidR="00911673">
        <w:rPr>
          <w:rFonts w:eastAsiaTheme="minorEastAsia"/>
          <w:b/>
          <w:bCs/>
          <w:sz w:val="24"/>
          <w:szCs w:val="24"/>
        </w:rPr>
        <w:t>21 May</w:t>
      </w:r>
      <w:r w:rsidR="000B22F5">
        <w:rPr>
          <w:rFonts w:eastAsiaTheme="minorEastAsia"/>
          <w:b/>
          <w:bCs/>
          <w:sz w:val="24"/>
          <w:szCs w:val="24"/>
        </w:rPr>
        <w:t xml:space="preserve"> 2024 </w:t>
      </w:r>
      <w:r w:rsidRPr="7540FD09">
        <w:rPr>
          <w:rFonts w:eastAsiaTheme="minorEastAsia"/>
          <w:b/>
          <w:bCs/>
          <w:sz w:val="24"/>
          <w:szCs w:val="24"/>
        </w:rPr>
        <w:t xml:space="preserve">19.00 – 21.00 By Zoom: </w:t>
      </w:r>
    </w:p>
    <w:p w:rsidRPr="00A85851" w:rsidR="0048223E" w:rsidP="7540FD09" w:rsidRDefault="0048223E" w14:paraId="2ACC9545" w14:textId="77777777">
      <w:pPr>
        <w:spacing w:after="0"/>
        <w:rPr>
          <w:rFonts w:eastAsiaTheme="minorEastAsia"/>
          <w:b/>
          <w:bCs/>
          <w:sz w:val="24"/>
          <w:szCs w:val="24"/>
        </w:rPr>
      </w:pPr>
    </w:p>
    <w:p w:rsidR="00854AC4" w:rsidP="7FE6131F" w:rsidRDefault="00A85851" w14:paraId="45DB1BC4" w14:textId="65A95312">
      <w:pPr>
        <w:spacing w:after="0"/>
        <w:rPr>
          <w:rFonts w:eastAsiaTheme="minorEastAsia"/>
          <w:sz w:val="24"/>
          <w:szCs w:val="24"/>
        </w:rPr>
      </w:pPr>
      <w:r w:rsidRPr="0048223E">
        <w:rPr>
          <w:rFonts w:eastAsiaTheme="minorEastAsia"/>
          <w:b/>
          <w:bCs/>
          <w:sz w:val="24"/>
          <w:szCs w:val="24"/>
        </w:rPr>
        <w:t>Attendees</w:t>
      </w:r>
      <w:r>
        <w:rPr>
          <w:rFonts w:eastAsiaTheme="minorEastAsia"/>
          <w:sz w:val="24"/>
          <w:szCs w:val="24"/>
        </w:rPr>
        <w:t>:  Anne Thompson, Jennifer Weston, Kamaljit Takhar, Rosie Furner, Helen Kilminster, Danny Bartlett, Kemi Gibson, Clair Huckerby, Hadeel Mohamed, Heidi Wright, Yvonne Dennington (note taker)</w:t>
      </w:r>
    </w:p>
    <w:p w:rsidR="00A85851" w:rsidP="7FE6131F" w:rsidRDefault="00A85851" w14:paraId="261C0199" w14:textId="24D3397E">
      <w:pPr>
        <w:spacing w:after="0"/>
        <w:rPr>
          <w:rFonts w:eastAsiaTheme="minorEastAsia"/>
          <w:sz w:val="24"/>
          <w:szCs w:val="24"/>
        </w:rPr>
      </w:pPr>
      <w:r w:rsidRPr="0048223E">
        <w:rPr>
          <w:rFonts w:eastAsiaTheme="minorEastAsia"/>
          <w:b/>
          <w:bCs/>
          <w:sz w:val="24"/>
          <w:szCs w:val="24"/>
        </w:rPr>
        <w:t>Observers:</w:t>
      </w:r>
      <w:r>
        <w:rPr>
          <w:rFonts w:eastAsiaTheme="minorEastAsia"/>
          <w:sz w:val="24"/>
          <w:szCs w:val="24"/>
        </w:rPr>
        <w:t xml:space="preserve"> Almina Slimani-</w:t>
      </w:r>
      <w:proofErr w:type="spellStart"/>
      <w:r>
        <w:rPr>
          <w:rFonts w:eastAsiaTheme="minorEastAsia"/>
          <w:sz w:val="24"/>
          <w:szCs w:val="24"/>
        </w:rPr>
        <w:t>Fersia</w:t>
      </w:r>
      <w:proofErr w:type="spellEnd"/>
      <w:r>
        <w:rPr>
          <w:rFonts w:eastAsiaTheme="minorEastAsia"/>
          <w:sz w:val="24"/>
          <w:szCs w:val="24"/>
        </w:rPr>
        <w:t xml:space="preserve">, </w:t>
      </w:r>
      <w:proofErr w:type="spellStart"/>
      <w:r>
        <w:rPr>
          <w:rFonts w:eastAsiaTheme="minorEastAsia"/>
          <w:sz w:val="24"/>
          <w:szCs w:val="24"/>
        </w:rPr>
        <w:t>Tabassun</w:t>
      </w:r>
      <w:proofErr w:type="spellEnd"/>
      <w:r>
        <w:rPr>
          <w:rFonts w:eastAsiaTheme="minorEastAsia"/>
          <w:sz w:val="24"/>
          <w:szCs w:val="24"/>
        </w:rPr>
        <w:t xml:space="preserve"> </w:t>
      </w:r>
      <w:proofErr w:type="spellStart"/>
      <w:r>
        <w:rPr>
          <w:rFonts w:eastAsiaTheme="minorEastAsia"/>
          <w:sz w:val="24"/>
          <w:szCs w:val="24"/>
        </w:rPr>
        <w:t>Jafin</w:t>
      </w:r>
      <w:proofErr w:type="spellEnd"/>
    </w:p>
    <w:p w:rsidR="00A85851" w:rsidP="7FE6131F" w:rsidRDefault="00A85851" w14:paraId="2653BB3A" w14:textId="2A7BBA47">
      <w:pPr>
        <w:spacing w:after="0"/>
        <w:rPr>
          <w:rFonts w:eastAsiaTheme="minorEastAsia"/>
          <w:sz w:val="24"/>
          <w:szCs w:val="24"/>
        </w:rPr>
      </w:pPr>
      <w:r w:rsidRPr="0048223E">
        <w:rPr>
          <w:rFonts w:eastAsiaTheme="minorEastAsia"/>
          <w:b/>
          <w:bCs/>
          <w:sz w:val="24"/>
          <w:szCs w:val="24"/>
        </w:rPr>
        <w:t>Guests</w:t>
      </w:r>
      <w:r>
        <w:rPr>
          <w:rFonts w:eastAsiaTheme="minorEastAsia"/>
          <w:sz w:val="24"/>
          <w:szCs w:val="24"/>
        </w:rPr>
        <w:t>:  Cathy Picton, Alwyn Fortune, Wing Tang, Fiona McIntyre</w:t>
      </w:r>
      <w:r w:rsidR="001F23F5">
        <w:rPr>
          <w:rFonts w:eastAsiaTheme="minorEastAsia"/>
          <w:sz w:val="24"/>
          <w:szCs w:val="24"/>
        </w:rPr>
        <w:t>, Clare Thomson</w:t>
      </w:r>
    </w:p>
    <w:p w:rsidRPr="00854AC4" w:rsidR="00A85851" w:rsidP="7FE6131F" w:rsidRDefault="00A85851" w14:paraId="0559E182" w14:textId="77777777">
      <w:pPr>
        <w:spacing w:after="0"/>
        <w:rPr>
          <w:rFonts w:eastAsiaTheme="minorEastAsia"/>
          <w:sz w:val="24"/>
          <w:szCs w:val="24"/>
        </w:rPr>
      </w:pPr>
    </w:p>
    <w:p w:rsidRPr="004130F1" w:rsidR="004130F1" w:rsidP="004130F1" w:rsidRDefault="5A8CE91A" w14:paraId="671EF214" w14:textId="7B3DC1E7">
      <w:pPr>
        <w:pStyle w:val="Heading2"/>
        <w:pBdr>
          <w:bottom w:val="single" w:color="auto" w:sz="4" w:space="1"/>
        </w:pBdr>
        <w:shd w:val="clear" w:color="auto" w:fill="DEEAF6" w:themeFill="accent5" w:themeFillTint="33"/>
        <w:rPr>
          <w:b/>
          <w:bCs/>
          <w:color w:val="000000" w:themeColor="text1"/>
        </w:rPr>
      </w:pPr>
      <w:r w:rsidRPr="5A8CE91A">
        <w:rPr>
          <w:b/>
          <w:bCs/>
          <w:color w:val="000000" w:themeColor="text1"/>
        </w:rPr>
        <w:t>1: Welcome, Apologies and introduction (10 mins) -  Anne Thomson</w:t>
      </w:r>
    </w:p>
    <w:tbl>
      <w:tblPr>
        <w:tblStyle w:val="TableGrid"/>
        <w:tblW w:w="9016" w:type="dxa"/>
        <w:tblLook w:val="04A0" w:firstRow="1" w:lastRow="0" w:firstColumn="1" w:lastColumn="0" w:noHBand="0" w:noVBand="1"/>
      </w:tblPr>
      <w:tblGrid>
        <w:gridCol w:w="1365"/>
        <w:gridCol w:w="7651"/>
      </w:tblGrid>
      <w:tr w:rsidRPr="004237B3" w:rsidR="000A0C1D" w:rsidTr="1CEEC284" w14:paraId="6A72F8F9" w14:textId="77777777">
        <w:trPr>
          <w:trHeight w:val="273"/>
        </w:trPr>
        <w:tc>
          <w:tcPr>
            <w:tcW w:w="1365" w:type="dxa"/>
          </w:tcPr>
          <w:p w:rsidRPr="004237B3" w:rsidR="000A0C1D" w:rsidP="008805EB" w:rsidRDefault="000A0C1D" w14:paraId="2CC930B5" w14:textId="77777777">
            <w:pPr>
              <w:rPr>
                <w:b/>
                <w:bCs/>
              </w:rPr>
            </w:pPr>
            <w:r w:rsidRPr="004237B3">
              <w:rPr>
                <w:b/>
                <w:bCs/>
              </w:rPr>
              <w:t>Description</w:t>
            </w:r>
          </w:p>
        </w:tc>
        <w:tc>
          <w:tcPr>
            <w:tcW w:w="7651" w:type="dxa"/>
          </w:tcPr>
          <w:p w:rsidR="007510AD" w:rsidP="00782D7B" w:rsidRDefault="1CEEC284" w14:paraId="76F60891" w14:textId="0D480EE3">
            <w:r>
              <w:t>To welcome, note apologies and introduction to the content of the meeting</w:t>
            </w:r>
          </w:p>
          <w:p w:rsidRPr="00A85851" w:rsidR="00782D7B" w:rsidP="00782D7B" w:rsidRDefault="00A85851" w14:paraId="3D5E6C71" w14:textId="6A38D72C">
            <w:pPr>
              <w:rPr>
                <w:rFonts w:cstheme="minorHAnsi"/>
                <w:i/>
                <w:iCs/>
              </w:rPr>
            </w:pPr>
            <w:r>
              <w:rPr>
                <w:rFonts w:cstheme="minorHAnsi"/>
                <w:i/>
                <w:iCs/>
              </w:rPr>
              <w:t>No apologies were received.</w:t>
            </w:r>
          </w:p>
        </w:tc>
      </w:tr>
      <w:tr w:rsidRPr="007C0870" w:rsidR="000A0C1D" w:rsidTr="1CEEC284" w14:paraId="71C4A3D0" w14:textId="77777777">
        <w:trPr>
          <w:trHeight w:val="638"/>
        </w:trPr>
        <w:tc>
          <w:tcPr>
            <w:tcW w:w="1365" w:type="dxa"/>
          </w:tcPr>
          <w:p w:rsidRPr="004237B3" w:rsidR="000A0C1D" w:rsidP="008805EB" w:rsidRDefault="000A0C1D" w14:paraId="57C66510" w14:textId="77777777">
            <w:pPr>
              <w:rPr>
                <w:b/>
                <w:bCs/>
              </w:rPr>
            </w:pPr>
            <w:r w:rsidRPr="004237B3">
              <w:rPr>
                <w:b/>
                <w:bCs/>
              </w:rPr>
              <w:t>Purpose</w:t>
            </w:r>
          </w:p>
        </w:tc>
        <w:tc>
          <w:tcPr>
            <w:tcW w:w="7651" w:type="dxa"/>
          </w:tcPr>
          <w:p w:rsidR="006F15D8" w:rsidP="00DE19B1" w:rsidRDefault="00DE19B1" w14:paraId="1D83281E" w14:textId="77777777">
            <w:pPr>
              <w:rPr>
                <w:rFonts w:cstheme="minorHAnsi"/>
              </w:rPr>
            </w:pPr>
            <w:r>
              <w:rPr>
                <w:rFonts w:cstheme="minorHAnsi"/>
              </w:rPr>
              <w:t>To r</w:t>
            </w:r>
            <w:r w:rsidR="00070D06">
              <w:rPr>
                <w:rFonts w:cstheme="minorHAnsi"/>
              </w:rPr>
              <w:t xml:space="preserve">aise any matters arising </w:t>
            </w:r>
          </w:p>
          <w:p w:rsidRPr="00A85851" w:rsidR="00A85851" w:rsidP="00DE19B1" w:rsidRDefault="00A85851" w14:paraId="711FF345" w14:textId="1FE9FD83">
            <w:pPr>
              <w:rPr>
                <w:rFonts w:cstheme="minorHAnsi"/>
                <w:i/>
                <w:iCs/>
              </w:rPr>
            </w:pPr>
          </w:p>
        </w:tc>
      </w:tr>
      <w:tr w:rsidRPr="000C7A2D" w:rsidR="000A0C1D" w:rsidTr="1CEEC284" w14:paraId="3BE1B3B7" w14:textId="77777777">
        <w:trPr>
          <w:trHeight w:val="568"/>
        </w:trPr>
        <w:tc>
          <w:tcPr>
            <w:tcW w:w="1365" w:type="dxa"/>
          </w:tcPr>
          <w:p w:rsidRPr="004237B3" w:rsidR="000A0C1D" w:rsidP="008805EB" w:rsidRDefault="000A0C1D" w14:paraId="1FCD453F" w14:textId="77777777">
            <w:pPr>
              <w:rPr>
                <w:b/>
                <w:bCs/>
              </w:rPr>
            </w:pPr>
            <w:r w:rsidRPr="004237B3">
              <w:rPr>
                <w:b/>
                <w:bCs/>
              </w:rPr>
              <w:t>Outcomes</w:t>
            </w:r>
          </w:p>
        </w:tc>
        <w:tc>
          <w:tcPr>
            <w:tcW w:w="7651" w:type="dxa"/>
          </w:tcPr>
          <w:p w:rsidR="001F160B" w:rsidP="001F160B" w:rsidRDefault="1CEEC284" w14:paraId="5B9010ED" w14:textId="77777777">
            <w:r>
              <w:t xml:space="preserve">To be agreed at the meeting </w:t>
            </w:r>
          </w:p>
          <w:p w:rsidRPr="003F7F50" w:rsidR="00075C71" w:rsidP="001F160B" w:rsidRDefault="001F160B" w14:paraId="2DA59358" w14:textId="77777777">
            <w:pPr>
              <w:rPr>
                <w:rFonts w:cstheme="minorHAnsi"/>
              </w:rPr>
            </w:pPr>
            <w:r w:rsidRPr="003F7F50">
              <w:rPr>
                <w:rFonts w:cstheme="minorHAnsi"/>
              </w:rPr>
              <w:t xml:space="preserve">Survey – AT thanked members for their contributions.  The feedback will be analysed by the Engagement team.  </w:t>
            </w:r>
          </w:p>
          <w:p w:rsidRPr="003F7F50" w:rsidR="001F160B" w:rsidP="001F160B" w:rsidRDefault="00075C71" w14:paraId="6EAF59B7" w14:textId="07DC9B87">
            <w:pPr>
              <w:rPr>
                <w:rFonts w:cstheme="minorHAnsi"/>
              </w:rPr>
            </w:pPr>
            <w:r w:rsidRPr="003F7F50">
              <w:rPr>
                <w:rFonts w:cstheme="minorHAnsi"/>
                <w:b/>
                <w:bCs/>
              </w:rPr>
              <w:t>Action:</w:t>
            </w:r>
            <w:r w:rsidRPr="003F7F50">
              <w:rPr>
                <w:rFonts w:cstheme="minorHAnsi"/>
              </w:rPr>
              <w:t xml:space="preserve">  </w:t>
            </w:r>
            <w:r w:rsidRPr="003F7F50" w:rsidR="001F160B">
              <w:rPr>
                <w:rFonts w:cstheme="minorHAnsi"/>
              </w:rPr>
              <w:t xml:space="preserve">HW will bring back to next meeting.  </w:t>
            </w:r>
          </w:p>
          <w:p w:rsidR="003F7F50" w:rsidP="001F160B" w:rsidRDefault="003F7F50" w14:paraId="6108D45A" w14:textId="77777777">
            <w:pPr>
              <w:rPr>
                <w:rFonts w:cstheme="minorHAnsi"/>
              </w:rPr>
            </w:pPr>
          </w:p>
          <w:p w:rsidRPr="003F7F50" w:rsidR="000A0C1D" w:rsidP="001F160B" w:rsidRDefault="001F160B" w14:paraId="0D35DD44" w14:textId="7EF65B89">
            <w:pPr>
              <w:rPr>
                <w:rFonts w:cstheme="minorHAnsi"/>
              </w:rPr>
            </w:pPr>
            <w:r w:rsidRPr="003F7F50">
              <w:rPr>
                <w:rFonts w:cstheme="minorHAnsi"/>
              </w:rPr>
              <w:t>It was suggested that there could be a quick summary of the meeting posted on social media to ensure members are aware of the work carried out by the PC</w:t>
            </w:r>
            <w:r w:rsidR="00A23953">
              <w:rPr>
                <w:rFonts w:cstheme="minorHAnsi"/>
              </w:rPr>
              <w:t>P</w:t>
            </w:r>
            <w:r w:rsidRPr="003F7F50">
              <w:rPr>
                <w:rFonts w:cstheme="minorHAnsi"/>
              </w:rPr>
              <w:t>EAG.  Some other EAGs post a short video summarising the meeting.  This could be rotated around the group to produce the video.</w:t>
            </w:r>
          </w:p>
          <w:p w:rsidRPr="000C7A2D" w:rsidR="003F7F50" w:rsidP="001F160B" w:rsidRDefault="003F7F50" w14:paraId="20E63DE8" w14:textId="5811AB21"/>
        </w:tc>
      </w:tr>
    </w:tbl>
    <w:p w:rsidR="3CF62954" w:rsidP="3B33032E" w:rsidRDefault="3CF62954" w14:paraId="0093F6FC" w14:textId="27EF9195">
      <w:pPr>
        <w:spacing w:after="0"/>
      </w:pPr>
    </w:p>
    <w:p w:rsidR="00355A75" w:rsidP="00355A75" w:rsidRDefault="00355A75" w14:paraId="7EA6895E" w14:textId="229C8865">
      <w:pPr>
        <w:pStyle w:val="Heading2"/>
        <w:shd w:val="clear" w:color="auto" w:fill="DEEAF6" w:themeFill="accent5" w:themeFillTint="33"/>
        <w:rPr>
          <w:b/>
          <w:bCs/>
          <w:color w:val="000000" w:themeColor="text1"/>
          <w:lang w:val="fr-FR"/>
        </w:rPr>
      </w:pPr>
      <w:r>
        <w:rPr>
          <w:b/>
          <w:bCs/>
          <w:color w:val="000000" w:themeColor="text1"/>
          <w:lang w:val="fr-FR"/>
        </w:rPr>
        <w:t>2</w:t>
      </w:r>
      <w:r w:rsidRPr="7B5E0B07">
        <w:rPr>
          <w:b/>
          <w:bCs/>
          <w:color w:val="000000" w:themeColor="text1"/>
          <w:lang w:val="fr-FR"/>
        </w:rPr>
        <w:t>:</w:t>
      </w:r>
      <w:r w:rsidR="00D219DE">
        <w:rPr>
          <w:b/>
          <w:bCs/>
          <w:color w:val="000000" w:themeColor="text1"/>
          <w:lang w:val="fr-FR"/>
        </w:rPr>
        <w:t xml:space="preserve"> </w:t>
      </w:r>
      <w:r w:rsidR="000B22F5">
        <w:rPr>
          <w:b/>
          <w:bCs/>
          <w:color w:val="000000" w:themeColor="text1"/>
          <w:lang w:val="fr-FR"/>
        </w:rPr>
        <w:t xml:space="preserve">Update on Country Teams </w:t>
      </w:r>
      <w:proofErr w:type="spellStart"/>
      <w:r w:rsidR="00D219DE">
        <w:rPr>
          <w:b/>
          <w:bCs/>
          <w:color w:val="000000" w:themeColor="text1"/>
          <w:lang w:val="fr-FR"/>
        </w:rPr>
        <w:t>priorities</w:t>
      </w:r>
      <w:proofErr w:type="spellEnd"/>
      <w:r w:rsidR="000B22F5">
        <w:rPr>
          <w:b/>
          <w:bCs/>
          <w:color w:val="000000" w:themeColor="text1"/>
          <w:lang w:val="fr-FR"/>
        </w:rPr>
        <w:t xml:space="preserve"> for 2024 (</w:t>
      </w:r>
      <w:r w:rsidR="00911673">
        <w:rPr>
          <w:b/>
          <w:bCs/>
          <w:color w:val="000000" w:themeColor="text1"/>
          <w:lang w:val="fr-FR"/>
        </w:rPr>
        <w:t>1</w:t>
      </w:r>
      <w:r w:rsidR="00A9542E">
        <w:rPr>
          <w:b/>
          <w:bCs/>
          <w:color w:val="000000" w:themeColor="text1"/>
          <w:lang w:val="fr-FR"/>
        </w:rPr>
        <w:t>0</w:t>
      </w:r>
      <w:r w:rsidR="000B22F5">
        <w:rPr>
          <w:b/>
          <w:bCs/>
          <w:color w:val="000000" w:themeColor="text1"/>
          <w:lang w:val="fr-FR"/>
        </w:rPr>
        <w:t xml:space="preserve"> mins) – Heidi Wright</w:t>
      </w:r>
    </w:p>
    <w:tbl>
      <w:tblPr>
        <w:tblStyle w:val="TableGrid"/>
        <w:tblW w:w="9016" w:type="dxa"/>
        <w:tblLook w:val="04A0" w:firstRow="1" w:lastRow="0" w:firstColumn="1" w:lastColumn="0" w:noHBand="0" w:noVBand="1"/>
      </w:tblPr>
      <w:tblGrid>
        <w:gridCol w:w="1335"/>
        <w:gridCol w:w="7681"/>
      </w:tblGrid>
      <w:tr w:rsidR="00355A75" w:rsidTr="0048223E" w14:paraId="26AA39DB" w14:textId="77777777">
        <w:trPr>
          <w:trHeight w:val="1026"/>
        </w:trPr>
        <w:tc>
          <w:tcPr>
            <w:tcW w:w="1335" w:type="dxa"/>
          </w:tcPr>
          <w:p w:rsidR="00355A75" w:rsidP="00185577" w:rsidRDefault="00355A75" w14:paraId="391F4A33" w14:textId="77777777">
            <w:pPr>
              <w:rPr>
                <w:b/>
                <w:bCs/>
              </w:rPr>
            </w:pPr>
            <w:r w:rsidRPr="7B5E0B07">
              <w:rPr>
                <w:b/>
                <w:bCs/>
              </w:rPr>
              <w:t>Descripti</w:t>
            </w:r>
            <w:r>
              <w:rPr>
                <w:b/>
                <w:bCs/>
              </w:rPr>
              <w:t>on</w:t>
            </w:r>
          </w:p>
        </w:tc>
        <w:tc>
          <w:tcPr>
            <w:tcW w:w="7681" w:type="dxa"/>
          </w:tcPr>
          <w:p w:rsidRPr="00EC1F3D" w:rsidR="00355A75" w:rsidP="00185577" w:rsidRDefault="00D40F08" w14:paraId="006E6876" w14:textId="4165EDFF">
            <w:pPr>
              <w:rPr>
                <w:rFonts w:cstheme="minorHAnsi"/>
              </w:rPr>
            </w:pPr>
            <w:r>
              <w:rPr>
                <w:rFonts w:cstheme="minorHAnsi"/>
              </w:rPr>
              <w:t xml:space="preserve">RPS </w:t>
            </w:r>
            <w:r w:rsidR="000B22F5">
              <w:rPr>
                <w:rFonts w:cstheme="minorHAnsi"/>
              </w:rPr>
              <w:t>Country Teams have developed a GB workplan informed by the priorities set out by the National Pharmacy Boards.</w:t>
            </w:r>
            <w:r w:rsidR="00A9542E">
              <w:rPr>
                <w:rFonts w:cstheme="minorHAnsi"/>
              </w:rPr>
              <w:t xml:space="preserve"> This includes AI, Digital Capabilities, Medicines Shortages, Gender Incongruence and Palliative Care</w:t>
            </w:r>
          </w:p>
        </w:tc>
      </w:tr>
      <w:tr w:rsidR="00355A75" w:rsidTr="0048223E" w14:paraId="3B8AE57A" w14:textId="77777777">
        <w:trPr>
          <w:trHeight w:val="417"/>
        </w:trPr>
        <w:tc>
          <w:tcPr>
            <w:tcW w:w="1335" w:type="dxa"/>
          </w:tcPr>
          <w:p w:rsidR="00355A75" w:rsidP="00185577" w:rsidRDefault="00355A75" w14:paraId="6B7A48DE" w14:textId="77777777">
            <w:pPr>
              <w:rPr>
                <w:b/>
                <w:bCs/>
              </w:rPr>
            </w:pPr>
            <w:r w:rsidRPr="7B5E0B07">
              <w:rPr>
                <w:b/>
                <w:bCs/>
              </w:rPr>
              <w:t>Purpose</w:t>
            </w:r>
          </w:p>
        </w:tc>
        <w:tc>
          <w:tcPr>
            <w:tcW w:w="7681" w:type="dxa"/>
          </w:tcPr>
          <w:p w:rsidR="00355A75" w:rsidP="00185577" w:rsidRDefault="000B22F5" w14:paraId="4D4A6ED6" w14:textId="553C0C2E">
            <w:pPr>
              <w:pStyle w:val="ListParagraph"/>
              <w:ind w:left="0"/>
            </w:pPr>
            <w:r>
              <w:t xml:space="preserve">To </w:t>
            </w:r>
            <w:r w:rsidR="00911673">
              <w:t>provide a short update on the policy areas RPS are working on</w:t>
            </w:r>
          </w:p>
        </w:tc>
      </w:tr>
      <w:tr w:rsidR="00355A75" w:rsidTr="2BD831D1" w14:paraId="156F560F" w14:textId="77777777">
        <w:trPr>
          <w:trHeight w:val="568"/>
        </w:trPr>
        <w:tc>
          <w:tcPr>
            <w:tcW w:w="1335" w:type="dxa"/>
          </w:tcPr>
          <w:p w:rsidR="00355A75" w:rsidP="00185577" w:rsidRDefault="00355A75" w14:paraId="5A925C13" w14:textId="77777777">
            <w:pPr>
              <w:rPr>
                <w:b/>
                <w:bCs/>
              </w:rPr>
            </w:pPr>
            <w:r w:rsidRPr="7B5E0B07">
              <w:rPr>
                <w:b/>
                <w:bCs/>
              </w:rPr>
              <w:t>Outcomes</w:t>
            </w:r>
          </w:p>
        </w:tc>
        <w:tc>
          <w:tcPr>
            <w:tcW w:w="7681" w:type="dxa"/>
          </w:tcPr>
          <w:p w:rsidRPr="0048223E" w:rsidR="00A85851" w:rsidP="00185577" w:rsidRDefault="00A85851" w14:paraId="40403BD8" w14:textId="77777777">
            <w:pPr>
              <w:rPr>
                <w:rFonts w:ascii="Calibri" w:hAnsi="Calibri" w:eastAsia="Calibri" w:cs="Calibri"/>
              </w:rPr>
            </w:pPr>
            <w:r w:rsidRPr="0048223E">
              <w:rPr>
                <w:rFonts w:ascii="Calibri" w:hAnsi="Calibri" w:eastAsia="Calibri" w:cs="Calibri"/>
              </w:rPr>
              <w:t>HW highlighted the current priorities which included:-</w:t>
            </w:r>
          </w:p>
          <w:p w:rsidRPr="0048223E" w:rsidR="00866AE1" w:rsidP="00185577" w:rsidRDefault="00866AE1" w14:paraId="3E2326B5" w14:textId="16E46F47">
            <w:pPr>
              <w:rPr>
                <w:rFonts w:ascii="Calibri" w:hAnsi="Calibri" w:eastAsia="Calibri" w:cs="Calibri"/>
              </w:rPr>
            </w:pPr>
            <w:r w:rsidRPr="0048223E">
              <w:rPr>
                <w:rFonts w:ascii="Calibri" w:hAnsi="Calibri" w:eastAsia="Calibri" w:cs="Calibri"/>
              </w:rPr>
              <w:t>RPS Pharmacy Board Elections – these concluded on 20</w:t>
            </w:r>
            <w:r w:rsidRPr="0048223E">
              <w:rPr>
                <w:rFonts w:ascii="Calibri" w:hAnsi="Calibri" w:eastAsia="Calibri" w:cs="Calibri"/>
                <w:vertAlign w:val="superscript"/>
              </w:rPr>
              <w:t>th</w:t>
            </w:r>
            <w:r w:rsidRPr="0048223E">
              <w:rPr>
                <w:rFonts w:ascii="Calibri" w:hAnsi="Calibri" w:eastAsia="Calibri" w:cs="Calibri"/>
              </w:rPr>
              <w:t xml:space="preserve"> May – members reminded to look at their RPS emails for details of newly elected members.</w:t>
            </w:r>
          </w:p>
          <w:p w:rsidRPr="0048223E" w:rsidR="00A85851" w:rsidP="00185577" w:rsidRDefault="00A85851" w14:paraId="5994C61E" w14:textId="77777777">
            <w:pPr>
              <w:rPr>
                <w:rFonts w:ascii="Calibri" w:hAnsi="Calibri" w:eastAsia="Calibri" w:cs="Calibri"/>
              </w:rPr>
            </w:pPr>
            <w:r w:rsidRPr="0048223E">
              <w:rPr>
                <w:rFonts w:ascii="Calibri" w:hAnsi="Calibri" w:eastAsia="Calibri" w:cs="Calibri"/>
              </w:rPr>
              <w:t>Artificial Intelligence – on the agenda for discussion</w:t>
            </w:r>
          </w:p>
          <w:p w:rsidRPr="0048223E" w:rsidR="00A85851" w:rsidP="00185577" w:rsidRDefault="00A85851" w14:paraId="4FE879B8" w14:textId="77777777">
            <w:pPr>
              <w:rPr>
                <w:rFonts w:ascii="Calibri" w:hAnsi="Calibri" w:eastAsia="Calibri" w:cs="Calibri"/>
              </w:rPr>
            </w:pPr>
            <w:r w:rsidRPr="0048223E">
              <w:rPr>
                <w:rFonts w:ascii="Calibri" w:hAnsi="Calibri" w:eastAsia="Calibri" w:cs="Calibri"/>
              </w:rPr>
              <w:t>Digital Capabilities – currently working on a paper with the Digital EAG – this will be circulated to all EAGs for their comments in the coming days.</w:t>
            </w:r>
          </w:p>
          <w:p w:rsidRPr="0048223E" w:rsidR="00866AE1" w:rsidP="00185577" w:rsidRDefault="00A85851" w14:paraId="372610EA" w14:textId="2BD42825">
            <w:pPr>
              <w:rPr>
                <w:rFonts w:ascii="Calibri" w:hAnsi="Calibri" w:eastAsia="Calibri" w:cs="Calibri"/>
              </w:rPr>
            </w:pPr>
            <w:r w:rsidRPr="0048223E">
              <w:rPr>
                <w:rFonts w:ascii="Calibri" w:hAnsi="Calibri" w:eastAsia="Calibri" w:cs="Calibri"/>
              </w:rPr>
              <w:t xml:space="preserve">Gender Incongruence – </w:t>
            </w:r>
            <w:r w:rsidRPr="0048223E" w:rsidR="0048223E">
              <w:rPr>
                <w:rFonts w:ascii="Calibri" w:hAnsi="Calibri" w:eastAsia="Calibri" w:cs="Calibri"/>
              </w:rPr>
              <w:t xml:space="preserve">Cass </w:t>
            </w:r>
            <w:r w:rsidRPr="0048223E">
              <w:rPr>
                <w:rFonts w:ascii="Calibri" w:hAnsi="Calibri" w:eastAsia="Calibri" w:cs="Calibri"/>
              </w:rPr>
              <w:t xml:space="preserve">review is now published – RPS is looking at that and it is likely RPS will issue a position statement followed by guidance to </w:t>
            </w:r>
            <w:r w:rsidRPr="0048223E" w:rsidR="00866AE1">
              <w:rPr>
                <w:rFonts w:ascii="Calibri" w:hAnsi="Calibri" w:eastAsia="Calibri" w:cs="Calibri"/>
              </w:rPr>
              <w:t xml:space="preserve">underpin and </w:t>
            </w:r>
            <w:r w:rsidRPr="0048223E">
              <w:rPr>
                <w:rFonts w:ascii="Calibri" w:hAnsi="Calibri" w:eastAsia="Calibri" w:cs="Calibri"/>
              </w:rPr>
              <w:t>implement</w:t>
            </w:r>
            <w:r w:rsidRPr="0048223E" w:rsidR="00866AE1">
              <w:rPr>
                <w:rFonts w:ascii="Calibri" w:hAnsi="Calibri" w:eastAsia="Calibri" w:cs="Calibri"/>
              </w:rPr>
              <w:t xml:space="preserve"> the policy.</w:t>
            </w:r>
          </w:p>
          <w:p w:rsidR="00A85851" w:rsidP="00185577" w:rsidRDefault="00866AE1" w14:paraId="695CC94D" w14:textId="77777777">
            <w:pPr>
              <w:rPr>
                <w:rFonts w:ascii="Calibri" w:hAnsi="Calibri" w:eastAsia="Calibri" w:cs="Calibri"/>
                <w:i/>
                <w:iCs/>
              </w:rPr>
            </w:pPr>
            <w:r w:rsidRPr="0048223E">
              <w:rPr>
                <w:rFonts w:ascii="Calibri" w:hAnsi="Calibri" w:eastAsia="Calibri" w:cs="Calibri"/>
              </w:rPr>
              <w:t>Palliative care – currently reviewing the Welsh Policy to adapt it into a GB Policy taking account of the Daffodil Standards.</w:t>
            </w:r>
            <w:r w:rsidR="00A85851">
              <w:rPr>
                <w:rFonts w:ascii="Calibri" w:hAnsi="Calibri" w:eastAsia="Calibri" w:cs="Calibri"/>
                <w:i/>
                <w:iCs/>
              </w:rPr>
              <w:t xml:space="preserve"> </w:t>
            </w:r>
          </w:p>
          <w:p w:rsidRPr="00A85851" w:rsidR="0048223E" w:rsidP="00185577" w:rsidRDefault="0048223E" w14:paraId="3BE32E2D" w14:textId="57274785">
            <w:pPr>
              <w:rPr>
                <w:rFonts w:ascii="Calibri" w:hAnsi="Calibri" w:eastAsia="Calibri" w:cs="Calibri"/>
                <w:i/>
                <w:iCs/>
              </w:rPr>
            </w:pPr>
          </w:p>
        </w:tc>
      </w:tr>
    </w:tbl>
    <w:p w:rsidRPr="007D1116" w:rsidR="0072482C" w:rsidP="2BD831D1" w:rsidRDefault="0072482C" w14:paraId="2D9DC1E9" w14:textId="1B853478">
      <w:pPr>
        <w:keepNext/>
        <w:keepLines/>
        <w:spacing w:before="40" w:after="0"/>
      </w:pPr>
    </w:p>
    <w:p w:rsidRPr="007D1116" w:rsidR="0072482C" w:rsidP="2BD831D1" w:rsidRDefault="2BD831D1" w14:paraId="6167FDDC" w14:textId="7FA60086">
      <w:pPr>
        <w:pStyle w:val="Heading2"/>
        <w:pBdr>
          <w:bottom w:val="single" w:color="000000" w:sz="4" w:space="1"/>
        </w:pBdr>
        <w:shd w:val="clear" w:color="auto" w:fill="DEEAF6" w:themeFill="accent5" w:themeFillTint="33"/>
        <w:rPr>
          <w:b/>
          <w:bCs/>
          <w:color w:val="000000" w:themeColor="text1"/>
        </w:rPr>
      </w:pPr>
      <w:r w:rsidRPr="2BD831D1">
        <w:rPr>
          <w:b/>
          <w:bCs/>
          <w:color w:val="000000" w:themeColor="text1"/>
        </w:rPr>
        <w:t>3: Medicines Shortages (25 mins) – Alwyn Fortune</w:t>
      </w:r>
    </w:p>
    <w:tbl>
      <w:tblPr>
        <w:tblStyle w:val="TableGrid"/>
        <w:tblW w:w="0" w:type="auto"/>
        <w:tblLook w:val="04A0" w:firstRow="1" w:lastRow="0" w:firstColumn="1" w:lastColumn="0" w:noHBand="0" w:noVBand="1"/>
      </w:tblPr>
      <w:tblGrid>
        <w:gridCol w:w="1335"/>
        <w:gridCol w:w="7681"/>
      </w:tblGrid>
      <w:tr w:rsidR="2BD831D1" w:rsidTr="2BD831D1" w14:paraId="23999D1E" w14:textId="77777777">
        <w:trPr>
          <w:trHeight w:val="273"/>
        </w:trPr>
        <w:tc>
          <w:tcPr>
            <w:tcW w:w="1335" w:type="dxa"/>
          </w:tcPr>
          <w:p w:rsidR="2BD831D1" w:rsidP="2BD831D1" w:rsidRDefault="2BD831D1" w14:paraId="6C04DBDB" w14:textId="77777777">
            <w:pPr>
              <w:rPr>
                <w:b/>
                <w:bCs/>
              </w:rPr>
            </w:pPr>
            <w:r w:rsidRPr="2BD831D1">
              <w:rPr>
                <w:b/>
                <w:bCs/>
              </w:rPr>
              <w:t>Description</w:t>
            </w:r>
          </w:p>
        </w:tc>
        <w:tc>
          <w:tcPr>
            <w:tcW w:w="7681" w:type="dxa"/>
          </w:tcPr>
          <w:p w:rsidR="2BD831D1" w:rsidP="2BD831D1" w:rsidRDefault="2BD831D1" w14:paraId="3BE86D17" w14:textId="77777777">
            <w:r w:rsidRPr="2BD831D1">
              <w:t>To discuss the medicines shortages project</w:t>
            </w:r>
          </w:p>
          <w:p w:rsidR="2BD831D1" w:rsidP="2BD831D1" w:rsidRDefault="2BD831D1" w14:paraId="6AB6752E" w14:textId="2E1043A4"/>
        </w:tc>
      </w:tr>
      <w:tr w:rsidR="2BD831D1" w:rsidTr="2BD831D1" w14:paraId="587419C5" w14:textId="77777777">
        <w:trPr>
          <w:trHeight w:val="638"/>
        </w:trPr>
        <w:tc>
          <w:tcPr>
            <w:tcW w:w="1335" w:type="dxa"/>
          </w:tcPr>
          <w:p w:rsidR="2BD831D1" w:rsidP="2BD831D1" w:rsidRDefault="2BD831D1" w14:paraId="4DEDB2BE" w14:textId="77777777">
            <w:pPr>
              <w:rPr>
                <w:b/>
                <w:bCs/>
              </w:rPr>
            </w:pPr>
            <w:r w:rsidRPr="2BD831D1">
              <w:rPr>
                <w:b/>
                <w:bCs/>
              </w:rPr>
              <w:t>Purpose</w:t>
            </w:r>
          </w:p>
        </w:tc>
        <w:tc>
          <w:tcPr>
            <w:tcW w:w="7681" w:type="dxa"/>
          </w:tcPr>
          <w:p w:rsidR="2BD831D1" w:rsidP="2BD831D1" w:rsidRDefault="2BD831D1" w14:paraId="02AF9C0F" w14:textId="77777777">
            <w:pPr>
              <w:rPr>
                <w:rFonts w:ascii="Calibri" w:hAnsi="Calibri" w:eastAsia="Calibri" w:cs="Calibri"/>
              </w:rPr>
            </w:pPr>
            <w:r>
              <w:t>To get insight and feedback from PCPEAG members on this topic</w:t>
            </w:r>
          </w:p>
        </w:tc>
      </w:tr>
      <w:tr w:rsidR="2BD831D1" w:rsidTr="2BD831D1" w14:paraId="53BCDC12" w14:textId="77777777">
        <w:trPr>
          <w:trHeight w:val="568"/>
        </w:trPr>
        <w:tc>
          <w:tcPr>
            <w:tcW w:w="1335" w:type="dxa"/>
          </w:tcPr>
          <w:p w:rsidR="2BD831D1" w:rsidP="2BD831D1" w:rsidRDefault="2BD831D1" w14:paraId="32ACD5E5" w14:textId="77777777">
            <w:pPr>
              <w:rPr>
                <w:b/>
                <w:bCs/>
              </w:rPr>
            </w:pPr>
            <w:r w:rsidRPr="2BD831D1">
              <w:rPr>
                <w:b/>
                <w:bCs/>
              </w:rPr>
              <w:t>Outcomes</w:t>
            </w:r>
          </w:p>
        </w:tc>
        <w:tc>
          <w:tcPr>
            <w:tcW w:w="7681" w:type="dxa"/>
          </w:tcPr>
          <w:p w:rsidRPr="0048223E" w:rsidR="00866AE1" w:rsidRDefault="00866AE1" w14:paraId="267D6D1E" w14:textId="77777777">
            <w:r w:rsidRPr="0048223E">
              <w:t>Alwyn Fortune and Cathy Picton (Lead Author of Report) were welcomed to the meeting.</w:t>
            </w:r>
          </w:p>
          <w:p w:rsidRPr="0048223E" w:rsidR="00866AE1" w:rsidRDefault="00866AE1" w14:paraId="4268E039" w14:textId="77777777">
            <w:r w:rsidRPr="0048223E">
              <w:t>AF gave an update of the project using slides to demonstrate the phases of the project.  Next steps include stakeholder engagement, patient feedback, drafting the report and publication at the end of the year.</w:t>
            </w:r>
          </w:p>
          <w:p w:rsidRPr="0048223E" w:rsidR="00866AE1" w:rsidRDefault="00866AE1" w14:paraId="2F5E2245" w14:textId="643CF339">
            <w:r w:rsidRPr="0048223E">
              <w:t>CP was interested in hearing what procedures were being put into place to help mitigate shortages</w:t>
            </w:r>
            <w:r w:rsidRPr="0048223E" w:rsidR="00874B1D">
              <w:t xml:space="preserve"> and some of the problems</w:t>
            </w:r>
            <w:r w:rsidRPr="0048223E">
              <w:t xml:space="preserve">.  </w:t>
            </w:r>
          </w:p>
          <w:p w:rsidRPr="0048223E" w:rsidR="00866AE1" w:rsidP="00866AE1" w:rsidRDefault="00866AE1" w14:paraId="389827FA" w14:textId="1A8D006C">
            <w:pPr>
              <w:pStyle w:val="ListParagraph"/>
              <w:numPr>
                <w:ilvl w:val="0"/>
                <w:numId w:val="23"/>
              </w:numPr>
            </w:pPr>
            <w:proofErr w:type="spellStart"/>
            <w:r w:rsidRPr="0048223E">
              <w:t>W</w:t>
            </w:r>
            <w:r w:rsidRPr="0048223E" w:rsidR="00B97589">
              <w:t>h</w:t>
            </w:r>
            <w:r w:rsidRPr="0048223E">
              <w:t>atsapp</w:t>
            </w:r>
            <w:proofErr w:type="spellEnd"/>
            <w:r w:rsidRPr="0048223E">
              <w:t xml:space="preserve"> groups</w:t>
            </w:r>
          </w:p>
          <w:p w:rsidRPr="0048223E" w:rsidR="00866AE1" w:rsidP="00866AE1" w:rsidRDefault="00866AE1" w14:paraId="463AA333" w14:textId="77777777">
            <w:pPr>
              <w:pStyle w:val="ListParagraph"/>
              <w:numPr>
                <w:ilvl w:val="0"/>
                <w:numId w:val="23"/>
              </w:numPr>
            </w:pPr>
            <w:r w:rsidRPr="0048223E">
              <w:t>Ensuring patients try other pharmacies</w:t>
            </w:r>
          </w:p>
          <w:p w:rsidRPr="0048223E" w:rsidR="00866AE1" w:rsidP="00866AE1" w:rsidRDefault="00866AE1" w14:paraId="2EEC199F" w14:textId="77777777">
            <w:pPr>
              <w:pStyle w:val="ListParagraph"/>
              <w:numPr>
                <w:ilvl w:val="0"/>
                <w:numId w:val="23"/>
              </w:numPr>
            </w:pPr>
            <w:r w:rsidRPr="0048223E">
              <w:t>Notice of shortages is too slow – this could be improved</w:t>
            </w:r>
          </w:p>
          <w:p w:rsidRPr="0048223E" w:rsidR="00866AE1" w:rsidP="00866AE1" w:rsidRDefault="00866AE1" w14:paraId="682EC580" w14:textId="77777777">
            <w:pPr>
              <w:pStyle w:val="ListParagraph"/>
              <w:numPr>
                <w:ilvl w:val="0"/>
                <w:numId w:val="23"/>
              </w:numPr>
            </w:pPr>
            <w:r w:rsidRPr="0048223E">
              <w:t>SPS good for big shortages</w:t>
            </w:r>
          </w:p>
          <w:p w:rsidRPr="0048223E" w:rsidR="00866AE1" w:rsidP="00866AE1" w:rsidRDefault="00866AE1" w14:paraId="037F6CAD" w14:textId="77777777">
            <w:pPr>
              <w:pStyle w:val="ListParagraph"/>
              <w:numPr>
                <w:ilvl w:val="0"/>
                <w:numId w:val="23"/>
              </w:numPr>
            </w:pPr>
            <w:r w:rsidRPr="0048223E">
              <w:t>MSRGs do work quickly once they are aware of shortages to get info out to front line</w:t>
            </w:r>
          </w:p>
          <w:p w:rsidRPr="0048223E" w:rsidR="00A13003" w:rsidP="00A13003" w:rsidRDefault="00866AE1" w14:paraId="6BC18881" w14:textId="77777777">
            <w:pPr>
              <w:pStyle w:val="ListParagraph"/>
              <w:numPr>
                <w:ilvl w:val="0"/>
                <w:numId w:val="23"/>
              </w:numPr>
            </w:pPr>
            <w:r w:rsidRPr="0048223E">
              <w:t>Purchasing issues creates huge amount of work – need some guidance to help manage this</w:t>
            </w:r>
            <w:r w:rsidRPr="0048223E" w:rsidR="00A13003">
              <w:t xml:space="preserve"> </w:t>
            </w:r>
          </w:p>
          <w:p w:rsidRPr="0048223E" w:rsidR="00866AE1" w:rsidP="00A13003" w:rsidRDefault="00A13003" w14:paraId="4073F31F" w14:textId="425ACE64">
            <w:pPr>
              <w:pStyle w:val="ListParagraph"/>
              <w:numPr>
                <w:ilvl w:val="0"/>
                <w:numId w:val="23"/>
              </w:numPr>
            </w:pPr>
            <w:r w:rsidRPr="0048223E">
              <w:t>Need to work collaboratively to limit the amount of work – all currently doing the same thing which is wasting time – more collaboration will help</w:t>
            </w:r>
          </w:p>
          <w:p w:rsidRPr="0048223E" w:rsidR="00B97589" w:rsidP="00866AE1" w:rsidRDefault="00B97589" w14:paraId="1E03F2B0" w14:textId="77777777">
            <w:pPr>
              <w:pStyle w:val="ListParagraph"/>
              <w:numPr>
                <w:ilvl w:val="0"/>
                <w:numId w:val="23"/>
              </w:numPr>
            </w:pPr>
            <w:r w:rsidRPr="0048223E">
              <w:t>Some patients are without medication for a significant amount of time</w:t>
            </w:r>
          </w:p>
          <w:p w:rsidRPr="0048223E" w:rsidR="00B97589" w:rsidP="00866AE1" w:rsidRDefault="00B97589" w14:paraId="2367099E" w14:textId="2DC103B7">
            <w:pPr>
              <w:pStyle w:val="ListParagraph"/>
              <w:numPr>
                <w:ilvl w:val="0"/>
                <w:numId w:val="23"/>
              </w:numPr>
            </w:pPr>
            <w:r w:rsidRPr="0048223E">
              <w:t xml:space="preserve">RPS does have guidance on managing shortages – need to ensure it is </w:t>
            </w:r>
            <w:r w:rsidRPr="0048223E" w:rsidR="00874B1D">
              <w:t xml:space="preserve">highlighted to </w:t>
            </w:r>
            <w:r w:rsidRPr="0048223E">
              <w:t xml:space="preserve"> members</w:t>
            </w:r>
          </w:p>
          <w:p w:rsidRPr="0048223E" w:rsidR="00B97589" w:rsidP="00866AE1" w:rsidRDefault="00B97589" w14:paraId="2A2E2438" w14:textId="77777777">
            <w:pPr>
              <w:pStyle w:val="ListParagraph"/>
              <w:numPr>
                <w:ilvl w:val="0"/>
                <w:numId w:val="23"/>
              </w:numPr>
            </w:pPr>
            <w:r w:rsidRPr="0048223E">
              <w:t>Changes made to the formulary in secondary care do not get to primary care in a timely manner</w:t>
            </w:r>
          </w:p>
          <w:p w:rsidRPr="0048223E" w:rsidR="00B97589" w:rsidP="00866AE1" w:rsidRDefault="00B97589" w14:paraId="3490A85C" w14:textId="77777777">
            <w:pPr>
              <w:pStyle w:val="ListParagraph"/>
              <w:numPr>
                <w:ilvl w:val="0"/>
                <w:numId w:val="23"/>
              </w:numPr>
            </w:pPr>
            <w:r w:rsidRPr="0048223E">
              <w:t>ADHD shortages – fearful of starting new patients on new meds because of the shortages</w:t>
            </w:r>
          </w:p>
          <w:p w:rsidRPr="0048223E" w:rsidR="00B97589" w:rsidP="00866AE1" w:rsidRDefault="00DC1981" w14:paraId="3B5E9BD2" w14:textId="4D663864">
            <w:pPr>
              <w:pStyle w:val="ListParagraph"/>
              <w:numPr>
                <w:ilvl w:val="0"/>
                <w:numId w:val="23"/>
              </w:numPr>
            </w:pPr>
            <w:r w:rsidRPr="0048223E">
              <w:t>Duplication of prescription</w:t>
            </w:r>
            <w:r w:rsidRPr="0048223E" w:rsidR="004A7E23">
              <w:t>s if needing alternative meds – can have financial impact and unintended consequences – need to address original prescription</w:t>
            </w:r>
            <w:r w:rsidRPr="0048223E" w:rsidR="00A13003">
              <w:t>. Is there a process to switch back to original prescription once shortages are over? – there is but incurs resource, there must be a national impact</w:t>
            </w:r>
          </w:p>
          <w:p w:rsidRPr="0048223E" w:rsidR="004A7E23" w:rsidP="00A13003" w:rsidRDefault="004A7E23" w14:paraId="53915DA9" w14:textId="023C02E6">
            <w:pPr>
              <w:pStyle w:val="ListParagraph"/>
              <w:numPr>
                <w:ilvl w:val="0"/>
                <w:numId w:val="23"/>
              </w:numPr>
            </w:pPr>
            <w:r w:rsidRPr="0048223E">
              <w:t xml:space="preserve">Digital solutions – </w:t>
            </w:r>
            <w:proofErr w:type="spellStart"/>
            <w:r w:rsidRPr="0048223E">
              <w:t>A</w:t>
            </w:r>
            <w:r w:rsidR="00A23953">
              <w:t>ccu</w:t>
            </w:r>
            <w:r w:rsidRPr="0048223E">
              <w:t>R</w:t>
            </w:r>
            <w:r w:rsidR="00A23953">
              <w:t>x</w:t>
            </w:r>
            <w:proofErr w:type="spellEnd"/>
            <w:r w:rsidRPr="0048223E">
              <w:t xml:space="preserve">. Boots </w:t>
            </w:r>
            <w:r w:rsidRPr="0048223E" w:rsidR="00A23953">
              <w:t>online</w:t>
            </w:r>
            <w:r w:rsidRPr="0048223E">
              <w:t xml:space="preserve"> stock checker</w:t>
            </w:r>
            <w:r w:rsidR="00A23953">
              <w:t xml:space="preserve"> (</w:t>
            </w:r>
            <w:r w:rsidRPr="00A23953" w:rsidR="00A23953">
              <w:t>https://www.boots.com/online/psc/</w:t>
            </w:r>
            <w:r w:rsidR="00A23953">
              <w:t>)</w:t>
            </w:r>
          </w:p>
          <w:p w:rsidRPr="0048223E" w:rsidR="004A7E23" w:rsidP="00866AE1" w:rsidRDefault="004A7E23" w14:paraId="70B90CC0" w14:textId="77777777">
            <w:pPr>
              <w:pStyle w:val="ListParagraph"/>
              <w:numPr>
                <w:ilvl w:val="0"/>
                <w:numId w:val="23"/>
              </w:numPr>
            </w:pPr>
            <w:r w:rsidRPr="0048223E">
              <w:t>Teams are spending up to 10% of their time dealing with shortages</w:t>
            </w:r>
            <w:r w:rsidRPr="0048223E" w:rsidR="00874B1D">
              <w:t xml:space="preserve"> – there will be a big overall impact on the system</w:t>
            </w:r>
          </w:p>
          <w:p w:rsidR="00874B1D" w:rsidP="00866AE1" w:rsidRDefault="00874B1D" w14:paraId="218D6E2D" w14:textId="77777777">
            <w:pPr>
              <w:pStyle w:val="ListParagraph"/>
              <w:numPr>
                <w:ilvl w:val="0"/>
                <w:numId w:val="23"/>
              </w:numPr>
            </w:pPr>
            <w:r w:rsidRPr="0048223E">
              <w:t>Patients are known to be stockpiling due to shortages</w:t>
            </w:r>
          </w:p>
          <w:p w:rsidRPr="00A23953" w:rsidR="00A23953" w:rsidP="00A23953" w:rsidRDefault="00A23953" w14:paraId="7540866E" w14:textId="77777777">
            <w:pPr>
              <w:pStyle w:val="ListParagraph"/>
              <w:numPr>
                <w:ilvl w:val="0"/>
                <w:numId w:val="23"/>
              </w:numPr>
            </w:pPr>
            <w:hyperlink w:history="1" r:id="rId7">
              <w:r w:rsidRPr="00A23953">
                <w:rPr>
                  <w:rStyle w:val="Hyperlink"/>
                  <w:rFonts w:ascii="Segoe UI" w:hAnsi="Segoe UI" w:eastAsia="Aptos" w:cs="Segoe UI"/>
                  <w:sz w:val="20"/>
                </w:rPr>
                <w:t>https://www.rpharms.com/resources/pharmacy-guides/medicine-shortages-in-community-pharmacy</w:t>
              </w:r>
            </w:hyperlink>
            <w:r w:rsidRPr="00A23953">
              <w:rPr>
                <w:rFonts w:ascii="Segoe UI" w:hAnsi="Segoe UI" w:eastAsia="Aptos" w:cs="Segoe UI"/>
                <w:sz w:val="20"/>
              </w:rPr>
              <w:t xml:space="preserve"> </w:t>
            </w:r>
          </w:p>
          <w:p w:rsidRPr="0048223E" w:rsidR="00A23953" w:rsidP="00A23953" w:rsidRDefault="00A23953" w14:paraId="452B01D5" w14:textId="048A7FA1">
            <w:pPr>
              <w:pStyle w:val="ListParagraph"/>
              <w:numPr>
                <w:ilvl w:val="0"/>
                <w:numId w:val="23"/>
              </w:numPr>
            </w:pPr>
            <w:hyperlink w:history="1" r:id="rId8">
              <w:r w:rsidRPr="0029771D">
                <w:rPr>
                  <w:rStyle w:val="Hyperlink"/>
                  <w:rFonts w:ascii="Segoe UI" w:hAnsi="Segoe UI" w:eastAsia="Aptos" w:cs="Segoe UI"/>
                  <w:sz w:val="20"/>
                </w:rPr>
                <w:t>https://www.rpharms.com/recognition/all-our-campaigns/policy-a-z/shortage-policy</w:t>
              </w:r>
            </w:hyperlink>
            <w:r>
              <w:rPr>
                <w:rFonts w:ascii="Segoe UI" w:hAnsi="Segoe UI" w:eastAsia="Aptos" w:cs="Segoe UI"/>
                <w:sz w:val="20"/>
              </w:rPr>
              <w:t xml:space="preserve"> </w:t>
            </w:r>
          </w:p>
          <w:p w:rsidRPr="0048223E" w:rsidR="00A23953" w:rsidP="00874B1D" w:rsidRDefault="00874B1D" w14:paraId="28A77C20" w14:textId="3C51A8FF">
            <w:r w:rsidRPr="0048223E">
              <w:t>CP and AF thanked members for their input and asked to come back to some individuals for further information.</w:t>
            </w:r>
          </w:p>
          <w:p w:rsidR="00874B1D" w:rsidP="00874B1D" w:rsidRDefault="003F7F50" w14:paraId="2FB566E9" w14:textId="77777777">
            <w:r w:rsidRPr="003F7F50">
              <w:rPr>
                <w:b/>
                <w:bCs/>
              </w:rPr>
              <w:t>Action:</w:t>
            </w:r>
            <w:r>
              <w:t xml:space="preserve"> </w:t>
            </w:r>
            <w:r w:rsidRPr="0048223E" w:rsidR="00874B1D">
              <w:t xml:space="preserve">Members can send in any thought to </w:t>
            </w:r>
            <w:proofErr w:type="spellStart"/>
            <w:r w:rsidRPr="0048223E" w:rsidR="00874B1D">
              <w:t>shortages@rpharms,com</w:t>
            </w:r>
            <w:proofErr w:type="spellEnd"/>
          </w:p>
          <w:p w:rsidRPr="00874B1D" w:rsidR="003F7F50" w:rsidP="00874B1D" w:rsidRDefault="003F7F50" w14:paraId="7DE2ABFB" w14:textId="4968430B">
            <w:pPr>
              <w:rPr>
                <w:i/>
                <w:iCs/>
              </w:rPr>
            </w:pPr>
          </w:p>
        </w:tc>
      </w:tr>
    </w:tbl>
    <w:p w:rsidRPr="007D1116" w:rsidR="0072482C" w:rsidP="2BD831D1" w:rsidRDefault="0072482C" w14:paraId="6DF3509C" w14:textId="0073C4E8">
      <w:pPr>
        <w:keepNext/>
        <w:keepLines/>
        <w:spacing w:before="40" w:after="0"/>
      </w:pPr>
    </w:p>
    <w:p w:rsidRPr="007D1116" w:rsidR="0072482C" w:rsidP="58FC081B" w:rsidRDefault="2BD831D1" w14:paraId="6F100AB2" w14:textId="5F049388">
      <w:pPr>
        <w:keepNext w:val="1"/>
        <w:keepLines w:val="1"/>
        <w:pBdr>
          <w:bottom w:val="single" w:color="FF000000" w:sz="4" w:space="1"/>
        </w:pBdr>
        <w:shd w:val="clear" w:color="auto" w:fill="DEEAF6" w:themeFill="accent5" w:themeFillTint="33"/>
        <w:spacing w:before="40" w:after="0"/>
        <w:outlineLvl w:val="1"/>
        <w:rPr>
          <w:rFonts w:ascii="Calibri Light" w:hAnsi="Calibri Light" w:eastAsia="" w:cs="" w:asciiTheme="majorAscii" w:hAnsiTheme="majorAscii" w:eastAsiaTheme="majorEastAsia" w:cstheme="majorBidi"/>
          <w:b w:val="1"/>
          <w:bCs w:val="1"/>
          <w:color w:val="000000" w:themeColor="text1"/>
          <w:sz w:val="26"/>
          <w:szCs w:val="26"/>
          <w:lang w:val="fr-FR"/>
        </w:rPr>
      </w:pPr>
      <w:r w:rsidRPr="58FC081B" w:rsidR="58FC081B">
        <w:rPr>
          <w:rFonts w:ascii="Calibri Light" w:hAnsi="Calibri Light" w:eastAsia="" w:cs="" w:asciiTheme="majorAscii" w:hAnsiTheme="majorAscii" w:eastAsiaTheme="majorEastAsia" w:cstheme="majorBidi"/>
          <w:b w:val="1"/>
          <w:bCs w:val="1"/>
          <w:color w:val="000000" w:themeColor="text1" w:themeTint="FF" w:themeShade="FF"/>
          <w:sz w:val="26"/>
          <w:szCs w:val="26"/>
          <w:lang w:val="fr-FR"/>
        </w:rPr>
        <w:t xml:space="preserve">4: </w:t>
      </w:r>
      <w:proofErr w:type="spellStart"/>
      <w:r w:rsidRPr="58FC081B" w:rsidR="58FC081B">
        <w:rPr>
          <w:rFonts w:ascii="Calibri Light" w:hAnsi="Calibri Light" w:eastAsia="" w:cs="" w:asciiTheme="majorAscii" w:hAnsiTheme="majorAscii" w:eastAsiaTheme="majorEastAsia" w:cstheme="majorBidi"/>
          <w:b w:val="1"/>
          <w:bCs w:val="1"/>
          <w:color w:val="000000" w:themeColor="text1" w:themeTint="FF" w:themeShade="FF"/>
          <w:sz w:val="26"/>
          <w:szCs w:val="26"/>
          <w:lang w:val="fr-FR"/>
        </w:rPr>
        <w:t>Development</w:t>
      </w:r>
      <w:proofErr w:type="spellEnd"/>
      <w:r w:rsidRPr="58FC081B" w:rsidR="58FC081B">
        <w:rPr>
          <w:rFonts w:ascii="Calibri Light" w:hAnsi="Calibri Light" w:eastAsia="" w:cs="" w:asciiTheme="majorAscii" w:hAnsiTheme="majorAscii" w:eastAsiaTheme="majorEastAsia" w:cstheme="majorBidi"/>
          <w:b w:val="1"/>
          <w:bCs w:val="1"/>
          <w:color w:val="000000" w:themeColor="text1" w:themeTint="FF" w:themeShade="FF"/>
          <w:sz w:val="26"/>
          <w:szCs w:val="26"/>
          <w:lang w:val="fr-FR"/>
        </w:rPr>
        <w:t xml:space="preserve"> of Professional Standards for Primary Care (15 mins) – Anne Thomson</w:t>
      </w:r>
    </w:p>
    <w:tbl>
      <w:tblPr>
        <w:tblStyle w:val="TableGrid"/>
        <w:tblW w:w="9016" w:type="dxa"/>
        <w:tblLook w:val="04A0" w:firstRow="1" w:lastRow="0" w:firstColumn="1" w:lastColumn="0" w:noHBand="0" w:noVBand="1"/>
      </w:tblPr>
      <w:tblGrid>
        <w:gridCol w:w="1335"/>
        <w:gridCol w:w="7681"/>
      </w:tblGrid>
      <w:tr w:rsidR="007510AD" w:rsidTr="1CEEC284" w14:paraId="104B6B1A" w14:textId="77777777">
        <w:trPr>
          <w:trHeight w:val="451"/>
        </w:trPr>
        <w:tc>
          <w:tcPr>
            <w:tcW w:w="1335" w:type="dxa"/>
          </w:tcPr>
          <w:p w:rsidRPr="00C90D6E" w:rsidR="007510AD" w:rsidP="00B37E84" w:rsidRDefault="007510AD" w14:paraId="527ED2A2" w14:textId="1A263DC9">
            <w:pPr>
              <w:rPr>
                <w:b/>
                <w:bCs/>
              </w:rPr>
            </w:pPr>
            <w:r>
              <w:rPr>
                <w:b/>
                <w:bCs/>
              </w:rPr>
              <w:t>Description</w:t>
            </w:r>
          </w:p>
        </w:tc>
        <w:tc>
          <w:tcPr>
            <w:tcW w:w="7681" w:type="dxa"/>
          </w:tcPr>
          <w:p w:rsidR="00D40F08" w:rsidP="000B22F5" w:rsidRDefault="000B22F5" w14:paraId="3DF6E109" w14:textId="77777777">
            <w:r>
              <w:t>To</w:t>
            </w:r>
            <w:r w:rsidR="00911673">
              <w:t xml:space="preserve"> discuss the potential need for professional standards to support pharmacists working in primary care </w:t>
            </w:r>
          </w:p>
          <w:p w:rsidR="00911673" w:rsidP="000B22F5" w:rsidRDefault="00911673" w14:paraId="6663734E" w14:textId="65998B6B"/>
        </w:tc>
      </w:tr>
      <w:tr w:rsidR="0072482C" w:rsidTr="1CEEC284" w14:paraId="3258CCBD" w14:textId="77777777">
        <w:trPr>
          <w:trHeight w:val="608"/>
        </w:trPr>
        <w:tc>
          <w:tcPr>
            <w:tcW w:w="1335" w:type="dxa"/>
          </w:tcPr>
          <w:p w:rsidRPr="00C90D6E" w:rsidR="0072482C" w:rsidP="00B37E84" w:rsidRDefault="0072482C" w14:paraId="55774161" w14:textId="77777777">
            <w:pPr>
              <w:rPr>
                <w:b/>
                <w:bCs/>
              </w:rPr>
            </w:pPr>
            <w:r w:rsidRPr="00C90D6E">
              <w:rPr>
                <w:b/>
                <w:bCs/>
              </w:rPr>
              <w:t>Purpose</w:t>
            </w:r>
          </w:p>
        </w:tc>
        <w:tc>
          <w:tcPr>
            <w:tcW w:w="7681" w:type="dxa"/>
          </w:tcPr>
          <w:p w:rsidR="00AB2248" w:rsidP="00782D7B" w:rsidRDefault="00854AC4" w14:paraId="5C6BE5B9" w14:textId="09242680">
            <w:r>
              <w:t>To get insight and feedback from PCPEAG members on this topic</w:t>
            </w:r>
          </w:p>
        </w:tc>
      </w:tr>
      <w:tr w:rsidR="0072482C" w:rsidTr="1CEEC284" w14:paraId="4F8AC75B" w14:textId="77777777">
        <w:trPr>
          <w:trHeight w:val="528"/>
        </w:trPr>
        <w:tc>
          <w:tcPr>
            <w:tcW w:w="1335" w:type="dxa"/>
          </w:tcPr>
          <w:p w:rsidRPr="00C90D6E" w:rsidR="0072482C" w:rsidP="00B37E84" w:rsidRDefault="0072482C" w14:paraId="13B34308" w14:textId="77777777">
            <w:pPr>
              <w:rPr>
                <w:b/>
                <w:bCs/>
              </w:rPr>
            </w:pPr>
            <w:r>
              <w:rPr>
                <w:b/>
                <w:bCs/>
              </w:rPr>
              <w:t>Outcome</w:t>
            </w:r>
            <w:r w:rsidRPr="00C90D6E">
              <w:rPr>
                <w:b/>
                <w:bCs/>
              </w:rPr>
              <w:t>s</w:t>
            </w:r>
          </w:p>
        </w:tc>
        <w:tc>
          <w:tcPr>
            <w:tcW w:w="7681" w:type="dxa"/>
          </w:tcPr>
          <w:p w:rsidR="003F7F50" w:rsidP="003F7F50" w:rsidRDefault="003F7F50" w14:paraId="79DD3784" w14:textId="77777777">
            <w:r w:rsidRPr="003F7F50">
              <w:t xml:space="preserve">There was some discussion as to whether or not to produce Professional Standards for Primary Care.  The group broadly agreed that these were needed and could be based on the Hospital Standards as there was much in these standards that could be duplicated for primary care.  </w:t>
            </w:r>
          </w:p>
          <w:p w:rsidRPr="003F7F50" w:rsidR="00A23953" w:rsidP="003F7F50" w:rsidRDefault="00A23953" w14:paraId="27174AA6" w14:textId="77777777"/>
          <w:p w:rsidR="00874B1D" w:rsidP="003F7F50" w:rsidRDefault="003F7F50" w14:paraId="3A496FC9" w14:textId="77777777">
            <w:r w:rsidRPr="003F7F50">
              <w:rPr>
                <w:b/>
                <w:bCs/>
              </w:rPr>
              <w:t>Action:</w:t>
            </w:r>
            <w:r w:rsidRPr="003F7F50">
              <w:t xml:space="preserve">  WT agreed to take a proposal to the Country Pharmacy Boards for the development of Primary Care Standards to be considered for the workplan for 2025 and he will report back the outcome of this proposal later in the year.</w:t>
            </w:r>
          </w:p>
          <w:p w:rsidRPr="00874B1D" w:rsidR="003F7F50" w:rsidP="003F7F50" w:rsidRDefault="003F7F50" w14:paraId="5F1F519C" w14:textId="36A7BC90">
            <w:pPr>
              <w:rPr>
                <w:i/>
                <w:iCs/>
              </w:rPr>
            </w:pPr>
          </w:p>
        </w:tc>
      </w:tr>
    </w:tbl>
    <w:p w:rsidR="0072482C" w:rsidP="004130F1" w:rsidRDefault="0072482C" w14:paraId="721B9708" w14:textId="77777777">
      <w:pPr>
        <w:spacing w:after="0"/>
      </w:pPr>
    </w:p>
    <w:p w:rsidR="3B33032E" w:rsidP="2BD831D1" w:rsidRDefault="2BD831D1" w14:paraId="25C4EC0F" w14:textId="51BD8D00">
      <w:pPr>
        <w:pStyle w:val="Heading2"/>
        <w:pBdr>
          <w:bottom w:val="single" w:color="000000" w:sz="4" w:space="0"/>
        </w:pBdr>
        <w:shd w:val="clear" w:color="auto" w:fill="DEEAF6" w:themeFill="accent5" w:themeFillTint="33"/>
        <w:rPr>
          <w:b/>
          <w:bCs/>
          <w:color w:val="000000" w:themeColor="text1"/>
          <w:lang w:val="fr-FR"/>
        </w:rPr>
      </w:pPr>
      <w:r w:rsidRPr="2BD831D1">
        <w:rPr>
          <w:b/>
          <w:bCs/>
          <w:color w:val="000000" w:themeColor="text1"/>
          <w:lang w:val="fr-FR"/>
        </w:rPr>
        <w:t>5: Fit notes Call for Evidence (15 mins) – Wing Tang / Heidi Wright</w:t>
      </w:r>
    </w:p>
    <w:tbl>
      <w:tblPr>
        <w:tblStyle w:val="TableGrid"/>
        <w:tblW w:w="0" w:type="auto"/>
        <w:tblLook w:val="04A0" w:firstRow="1" w:lastRow="0" w:firstColumn="1" w:lastColumn="0" w:noHBand="0" w:noVBand="1"/>
      </w:tblPr>
      <w:tblGrid>
        <w:gridCol w:w="1380"/>
        <w:gridCol w:w="7636"/>
      </w:tblGrid>
      <w:tr w:rsidR="3B33032E" w:rsidTr="2BD831D1" w14:paraId="45857B36" w14:textId="77777777">
        <w:trPr>
          <w:trHeight w:val="273"/>
        </w:trPr>
        <w:tc>
          <w:tcPr>
            <w:tcW w:w="1380" w:type="dxa"/>
          </w:tcPr>
          <w:p w:rsidR="3B33032E" w:rsidP="3B33032E" w:rsidRDefault="3B33032E" w14:paraId="4D60FA6E" w14:textId="77777777">
            <w:pPr>
              <w:rPr>
                <w:b/>
                <w:bCs/>
              </w:rPr>
            </w:pPr>
            <w:r w:rsidRPr="3B33032E">
              <w:rPr>
                <w:b/>
                <w:bCs/>
              </w:rPr>
              <w:t>Description</w:t>
            </w:r>
          </w:p>
        </w:tc>
        <w:tc>
          <w:tcPr>
            <w:tcW w:w="7636" w:type="dxa"/>
          </w:tcPr>
          <w:p w:rsidR="3B33032E" w:rsidRDefault="3B33032E" w14:paraId="6F2E5AF0" w14:textId="77777777">
            <w:r>
              <w:t>DHSC have launched a call for evidence around fit notes (</w:t>
            </w:r>
            <w:hyperlink r:id="rId9">
              <w:r w:rsidRPr="3B33032E">
                <w:rPr>
                  <w:rStyle w:val="Hyperlink"/>
                </w:rPr>
                <w:t>https://www.gov.uk/government/calls-for-evidence/fit-note-reform-call-for-evidence/fit-note-reform-call-for-evidence</w:t>
              </w:r>
            </w:hyperlink>
            <w:r>
              <w:t xml:space="preserve">) </w:t>
            </w:r>
          </w:p>
          <w:p w:rsidR="3B33032E" w:rsidRDefault="3B33032E" w14:paraId="4BF1C2F7" w14:textId="76F10F85"/>
        </w:tc>
      </w:tr>
      <w:tr w:rsidR="3B33032E" w:rsidTr="2BD831D1" w14:paraId="5B9723C9" w14:textId="77777777">
        <w:trPr>
          <w:trHeight w:val="638"/>
        </w:trPr>
        <w:tc>
          <w:tcPr>
            <w:tcW w:w="1380" w:type="dxa"/>
          </w:tcPr>
          <w:p w:rsidR="3B33032E" w:rsidP="3B33032E" w:rsidRDefault="3B33032E" w14:paraId="3EE197D7" w14:textId="77777777">
            <w:pPr>
              <w:rPr>
                <w:b/>
                <w:bCs/>
              </w:rPr>
            </w:pPr>
            <w:r w:rsidRPr="3B33032E">
              <w:rPr>
                <w:b/>
                <w:bCs/>
              </w:rPr>
              <w:t>Purpose</w:t>
            </w:r>
          </w:p>
        </w:tc>
        <w:tc>
          <w:tcPr>
            <w:tcW w:w="7636" w:type="dxa"/>
          </w:tcPr>
          <w:p w:rsidR="3B33032E" w:rsidP="3B33032E" w:rsidRDefault="3B33032E" w14:paraId="78C33896" w14:textId="77777777">
            <w:pPr>
              <w:pStyle w:val="ListParagraph"/>
              <w:ind w:left="0"/>
            </w:pPr>
            <w:r>
              <w:t>To get insight and feedback from PCPEAG members on this topic to help inform a response to this call for evidence</w:t>
            </w:r>
          </w:p>
          <w:p w:rsidR="3B33032E" w:rsidP="3B33032E" w:rsidRDefault="3B33032E" w14:paraId="59BFCF71" w14:textId="4E5686AB">
            <w:pPr>
              <w:pStyle w:val="ListParagraph"/>
              <w:ind w:left="0"/>
            </w:pPr>
          </w:p>
        </w:tc>
      </w:tr>
      <w:tr w:rsidR="3B33032E" w:rsidTr="2BD831D1" w14:paraId="16890121" w14:textId="77777777">
        <w:trPr>
          <w:trHeight w:val="568"/>
        </w:trPr>
        <w:tc>
          <w:tcPr>
            <w:tcW w:w="1380" w:type="dxa"/>
          </w:tcPr>
          <w:p w:rsidR="3B33032E" w:rsidP="3B33032E" w:rsidRDefault="3B33032E" w14:paraId="2F30B632" w14:textId="77777777">
            <w:pPr>
              <w:rPr>
                <w:b/>
                <w:bCs/>
              </w:rPr>
            </w:pPr>
            <w:r w:rsidRPr="3B33032E">
              <w:rPr>
                <w:b/>
                <w:bCs/>
              </w:rPr>
              <w:t>Outcomes</w:t>
            </w:r>
          </w:p>
        </w:tc>
        <w:tc>
          <w:tcPr>
            <w:tcW w:w="7636" w:type="dxa"/>
          </w:tcPr>
          <w:p w:rsidRPr="0048223E" w:rsidR="00A7753E" w:rsidRDefault="00A7753E" w14:paraId="32AD9AD1" w14:textId="07F51392">
            <w:r w:rsidRPr="0048223E">
              <w:t>Some members did not agree with the statement of “we agree the issue of fit notes is not a good use of GP time” as sometimes a medical review is needed as the GP knows the patient</w:t>
            </w:r>
            <w:r w:rsidRPr="0048223E" w:rsidR="002857B8">
              <w:t xml:space="preserve"> best</w:t>
            </w:r>
            <w:r w:rsidRPr="0048223E">
              <w:t>.</w:t>
            </w:r>
          </w:p>
          <w:p w:rsidRPr="0048223E" w:rsidR="00A7753E" w:rsidRDefault="00A7753E" w14:paraId="2401CDAE" w14:textId="77777777">
            <w:r w:rsidRPr="0048223E">
              <w:t>It was suggested that efficiency could be improved with the issue of fit notes across the system – GPs/primary care/secondary care rather than exempting certain groups.</w:t>
            </w:r>
          </w:p>
          <w:p w:rsidR="00A7753E" w:rsidRDefault="00A7753E" w14:paraId="7AFCC93F" w14:textId="77777777">
            <w:r w:rsidRPr="0048223E">
              <w:t xml:space="preserve">WT asked for a steer on the current narrative of freeing up GP time.  </w:t>
            </w:r>
            <w:r w:rsidRPr="0048223E" w:rsidR="00144E35">
              <w:t>Pharmacists do not generally treat acute patients therefore there is still a need for GP input.  Passing the responsibility around fragments patient care.  It is dependent on accessibility of information on the patient as to whether you can issue a fit note. Lots of teams work in isolation.  Clinical letters often take up to 13 weeks to come through the system.</w:t>
            </w:r>
          </w:p>
          <w:p w:rsidRPr="0048223E" w:rsidR="00A23953" w:rsidRDefault="00A23953" w14:paraId="121C584E" w14:textId="2646822E">
            <w:r>
              <w:t xml:space="preserve">Training was mentioned and available at </w:t>
            </w:r>
            <w:hyperlink w:history="1" r:id="rId10">
              <w:r w:rsidRPr="0029771D">
                <w:rPr>
                  <w:rStyle w:val="Hyperlink"/>
                </w:rPr>
                <w:t>https://portal.e-lfh.org.uk/myElearning/Index?HierarchyId=0_56030_56030&amp;programmeId=56030</w:t>
              </w:r>
            </w:hyperlink>
            <w:r>
              <w:t xml:space="preserve"> </w:t>
            </w:r>
          </w:p>
          <w:p w:rsidR="00144E35" w:rsidRDefault="00144E35" w14:paraId="765F411B" w14:textId="77777777">
            <w:r w:rsidRPr="0048223E">
              <w:t>WT thanked members for their insights and said he may need to make contact for further expertise in this area.</w:t>
            </w:r>
          </w:p>
          <w:p w:rsidRPr="00A7753E" w:rsidR="003F7F50" w:rsidRDefault="003F7F50" w14:paraId="5B314E8F" w14:textId="7208A3C4">
            <w:pPr>
              <w:rPr>
                <w:i/>
                <w:iCs/>
              </w:rPr>
            </w:pPr>
          </w:p>
        </w:tc>
      </w:tr>
    </w:tbl>
    <w:p w:rsidR="2BD831D1" w:rsidP="2BD831D1" w:rsidRDefault="2BD831D1" w14:paraId="75B9E848" w14:textId="14A6CA45">
      <w:pPr>
        <w:pStyle w:val="Heading2"/>
        <w:rPr>
          <w:b/>
          <w:bCs/>
          <w:color w:val="000000" w:themeColor="text1"/>
        </w:rPr>
      </w:pPr>
    </w:p>
    <w:p w:rsidR="007913BF" w:rsidP="2BD831D1" w:rsidRDefault="2BD831D1" w14:paraId="19DB8733" w14:textId="3BB79970">
      <w:pPr>
        <w:pStyle w:val="Heading2"/>
        <w:shd w:val="clear" w:color="auto" w:fill="D9E2F3" w:themeFill="accent1" w:themeFillTint="33"/>
        <w:rPr>
          <w:b/>
          <w:bCs/>
          <w:color w:val="000000" w:themeColor="text1"/>
          <w:sz w:val="24"/>
          <w:szCs w:val="24"/>
        </w:rPr>
      </w:pPr>
      <w:r w:rsidRPr="2BD831D1">
        <w:rPr>
          <w:b/>
          <w:bCs/>
          <w:color w:val="000000" w:themeColor="text1"/>
          <w:sz w:val="24"/>
          <w:szCs w:val="24"/>
        </w:rPr>
        <w:t>6: Artificial Intelligence (15 mins) – Fiona McIntyre</w:t>
      </w:r>
    </w:p>
    <w:tbl>
      <w:tblPr>
        <w:tblStyle w:val="TableGrid"/>
        <w:tblW w:w="9016" w:type="dxa"/>
        <w:tblLook w:val="04A0" w:firstRow="1" w:lastRow="0" w:firstColumn="1" w:lastColumn="0" w:noHBand="0" w:noVBand="1"/>
      </w:tblPr>
      <w:tblGrid>
        <w:gridCol w:w="1335"/>
        <w:gridCol w:w="7681"/>
      </w:tblGrid>
      <w:tr w:rsidR="007913BF" w:rsidTr="2BD831D1" w14:paraId="4F92E3D0" w14:textId="77777777">
        <w:trPr>
          <w:trHeight w:val="273"/>
        </w:trPr>
        <w:tc>
          <w:tcPr>
            <w:tcW w:w="1335" w:type="dxa"/>
          </w:tcPr>
          <w:p w:rsidRPr="004237B3" w:rsidR="007913BF" w:rsidP="00A773D9" w:rsidRDefault="007913BF" w14:paraId="15DE810D" w14:textId="77777777">
            <w:pPr>
              <w:rPr>
                <w:b/>
                <w:bCs/>
              </w:rPr>
            </w:pPr>
            <w:r w:rsidRPr="004237B3">
              <w:rPr>
                <w:b/>
                <w:bCs/>
              </w:rPr>
              <w:t>Description</w:t>
            </w:r>
          </w:p>
        </w:tc>
        <w:tc>
          <w:tcPr>
            <w:tcW w:w="7681" w:type="dxa"/>
          </w:tcPr>
          <w:p w:rsidR="00854AC4" w:rsidP="2BD831D1" w:rsidRDefault="2BD831D1" w14:paraId="52874F08" w14:textId="2997F0E8">
            <w:pPr>
              <w:pStyle w:val="Heading2"/>
              <w:spacing w:line="259" w:lineRule="auto"/>
              <w:rPr>
                <w:rFonts w:asciiTheme="minorHAnsi" w:hAnsiTheme="minorHAnsi" w:eastAsiaTheme="minorEastAsia" w:cstheme="minorBidi"/>
                <w:color w:val="auto"/>
                <w:sz w:val="22"/>
                <w:szCs w:val="22"/>
              </w:rPr>
            </w:pPr>
            <w:r w:rsidRPr="2BD831D1">
              <w:rPr>
                <w:rFonts w:asciiTheme="minorHAnsi" w:hAnsiTheme="minorHAnsi" w:eastAsiaTheme="minorEastAsia" w:cstheme="minorBidi"/>
                <w:color w:val="auto"/>
                <w:sz w:val="22"/>
                <w:szCs w:val="22"/>
              </w:rPr>
              <w:t>To discuss initial thinking around AI position statement</w:t>
            </w:r>
          </w:p>
          <w:p w:rsidRPr="004237B3" w:rsidR="00D40F08" w:rsidP="00D40F08" w:rsidRDefault="00D40F08" w14:paraId="14099B2E" w14:textId="54BD6177">
            <w:pPr>
              <w:rPr>
                <w:rFonts w:cstheme="minorHAnsi"/>
              </w:rPr>
            </w:pPr>
          </w:p>
        </w:tc>
      </w:tr>
      <w:tr w:rsidR="00D40F08" w:rsidTr="2BD831D1" w14:paraId="60CF2669" w14:textId="77777777">
        <w:trPr>
          <w:trHeight w:val="638"/>
        </w:trPr>
        <w:tc>
          <w:tcPr>
            <w:tcW w:w="1335" w:type="dxa"/>
          </w:tcPr>
          <w:p w:rsidRPr="004237B3" w:rsidR="00D40F08" w:rsidP="00D40F08" w:rsidRDefault="00D40F08" w14:paraId="513A93EE" w14:textId="77777777">
            <w:pPr>
              <w:rPr>
                <w:b/>
                <w:bCs/>
              </w:rPr>
            </w:pPr>
            <w:r w:rsidRPr="004237B3">
              <w:rPr>
                <w:b/>
                <w:bCs/>
              </w:rPr>
              <w:lastRenderedPageBreak/>
              <w:t>Purpose</w:t>
            </w:r>
          </w:p>
        </w:tc>
        <w:tc>
          <w:tcPr>
            <w:tcW w:w="7681" w:type="dxa"/>
          </w:tcPr>
          <w:p w:rsidRPr="007B312E" w:rsidR="00D40F08" w:rsidP="00D40F08" w:rsidRDefault="00D40F08" w14:paraId="4F49E47B" w14:textId="5396DC04">
            <w:pPr>
              <w:rPr>
                <w:rFonts w:ascii="Calibri" w:hAnsi="Calibri" w:eastAsia="Calibri" w:cs="Calibri"/>
              </w:rPr>
            </w:pPr>
            <w:r>
              <w:t>To get insight and feedback from PCPEAG members on this topic</w:t>
            </w:r>
          </w:p>
        </w:tc>
      </w:tr>
      <w:tr w:rsidR="00D40F08" w:rsidTr="2BD831D1" w14:paraId="064CD4FD" w14:textId="77777777">
        <w:trPr>
          <w:trHeight w:val="568"/>
        </w:trPr>
        <w:tc>
          <w:tcPr>
            <w:tcW w:w="1335" w:type="dxa"/>
          </w:tcPr>
          <w:p w:rsidRPr="004237B3" w:rsidR="00D40F08" w:rsidP="00D40F08" w:rsidRDefault="00D40F08" w14:paraId="06018149" w14:textId="77777777">
            <w:pPr>
              <w:rPr>
                <w:b/>
                <w:bCs/>
              </w:rPr>
            </w:pPr>
            <w:r w:rsidRPr="004237B3">
              <w:rPr>
                <w:b/>
                <w:bCs/>
              </w:rPr>
              <w:t>Outcomes</w:t>
            </w:r>
          </w:p>
        </w:tc>
        <w:tc>
          <w:tcPr>
            <w:tcW w:w="7681" w:type="dxa"/>
          </w:tcPr>
          <w:p w:rsidRPr="0048223E" w:rsidR="00600A65" w:rsidP="00D40F08" w:rsidRDefault="00600A65" w14:paraId="4E7ED729" w14:textId="77777777">
            <w:r w:rsidRPr="0048223E">
              <w:t>Fiona McIntyre was welcomed to the meeting and presented some slides.</w:t>
            </w:r>
          </w:p>
          <w:p w:rsidRPr="0048223E" w:rsidR="00A23953" w:rsidP="00D40F08" w:rsidRDefault="001F23F5" w14:paraId="0410BD28" w14:textId="51A9E747">
            <w:r w:rsidRPr="0048223E">
              <w:t>HK reported that there is a lot of work going on at her PCN on AI in the areas of clinical recording and medicines reconciliation.  HK is the Digital Clinical Safety Officer for her PCN and said that the training for these positions are undertaken by NHS Digital.  Currently a lot going on re back office processes rather than using patient information.</w:t>
            </w:r>
            <w:r w:rsidR="00A23953">
              <w:t xml:space="preserve"> </w:t>
            </w:r>
            <w:hyperlink w:history="1" r:id="rId11">
              <w:r w:rsidRPr="0029771D" w:rsidR="00A23953">
                <w:rPr>
                  <w:rStyle w:val="Hyperlink"/>
                </w:rPr>
                <w:t>https://www.england.nhs.uk/long-read/digital-clinical-safety-assurance/</w:t>
              </w:r>
            </w:hyperlink>
            <w:r w:rsidR="00A23953">
              <w:t xml:space="preserve"> </w:t>
            </w:r>
          </w:p>
          <w:p w:rsidRPr="0048223E" w:rsidR="001F23F5" w:rsidP="00D40F08" w:rsidRDefault="001F23F5" w14:paraId="58866802" w14:textId="77777777">
            <w:r w:rsidRPr="0048223E">
              <w:t>Scotland have innovation hubs, which are clinically led – they are looking at ways of working using AI – making better use of the workforce.  There is a lot of structure forming and governance supporting it.</w:t>
            </w:r>
          </w:p>
          <w:p w:rsidRPr="0048223E" w:rsidR="00F5186A" w:rsidP="00D40F08" w:rsidRDefault="00F5186A" w14:paraId="54C5F851" w14:textId="4B4D5786">
            <w:r w:rsidRPr="0048223E">
              <w:t>There is funding available for digital entrepreneurships.</w:t>
            </w:r>
          </w:p>
          <w:p w:rsidR="00F5186A" w:rsidP="00D40F08" w:rsidRDefault="00F5186A" w14:paraId="00B2300A" w14:textId="77777777">
            <w:r w:rsidRPr="0048223E">
              <w:t>RPS should be raising awareness of AI and pharmacist involvement and giving information on how to get involved.</w:t>
            </w:r>
            <w:r>
              <w:t xml:space="preserve">  </w:t>
            </w:r>
          </w:p>
          <w:p w:rsidRPr="000C7A2D" w:rsidR="003F7F50" w:rsidP="00D40F08" w:rsidRDefault="003F7F50" w14:paraId="02C979A8" w14:textId="58AF11AF"/>
        </w:tc>
      </w:tr>
    </w:tbl>
    <w:p w:rsidR="00D40F08" w:rsidP="3B33032E" w:rsidRDefault="542A3591" w14:paraId="3B024985" w14:textId="68354EDA">
      <w:pPr>
        <w:spacing w:after="0"/>
      </w:pPr>
      <w:r>
        <w:t xml:space="preserve">  </w:t>
      </w:r>
    </w:p>
    <w:p w:rsidRPr="007D1116" w:rsidR="00D40F08" w:rsidP="542A3591" w:rsidRDefault="542A3591" w14:paraId="6B8B5B5A" w14:textId="312DEF42">
      <w:pPr>
        <w:pStyle w:val="Heading2"/>
        <w:pBdr>
          <w:bottom w:val="single" w:color="auto" w:sz="4" w:space="0"/>
        </w:pBdr>
        <w:shd w:val="clear" w:color="auto" w:fill="DEEAF6" w:themeFill="accent5" w:themeFillTint="33"/>
        <w:rPr>
          <w:b/>
          <w:bCs/>
          <w:color w:val="000000" w:themeColor="text1"/>
          <w:lang w:val="fr-FR"/>
        </w:rPr>
      </w:pPr>
      <w:r w:rsidRPr="542A3591">
        <w:rPr>
          <w:b/>
          <w:bCs/>
          <w:color w:val="000000" w:themeColor="text1"/>
          <w:lang w:val="fr-FR"/>
        </w:rPr>
        <w:t xml:space="preserve">7: </w:t>
      </w:r>
      <w:proofErr w:type="spellStart"/>
      <w:r w:rsidRPr="542A3591">
        <w:rPr>
          <w:b/>
          <w:bCs/>
          <w:color w:val="000000" w:themeColor="text1"/>
          <w:lang w:val="fr-FR"/>
        </w:rPr>
        <w:t>Repeat</w:t>
      </w:r>
      <w:proofErr w:type="spellEnd"/>
      <w:r w:rsidRPr="542A3591">
        <w:rPr>
          <w:b/>
          <w:bCs/>
          <w:color w:val="000000" w:themeColor="text1"/>
          <w:lang w:val="fr-FR"/>
        </w:rPr>
        <w:t xml:space="preserve"> Prescribing Toolkit and </w:t>
      </w:r>
      <w:proofErr w:type="spellStart"/>
      <w:r w:rsidRPr="542A3591">
        <w:rPr>
          <w:b/>
          <w:bCs/>
          <w:color w:val="000000" w:themeColor="text1"/>
          <w:lang w:val="fr-FR"/>
        </w:rPr>
        <w:t>Structured</w:t>
      </w:r>
      <w:proofErr w:type="spellEnd"/>
      <w:r w:rsidRPr="542A3591">
        <w:rPr>
          <w:b/>
          <w:bCs/>
          <w:color w:val="000000" w:themeColor="text1"/>
          <w:lang w:val="fr-FR"/>
        </w:rPr>
        <w:t xml:space="preserve"> </w:t>
      </w:r>
      <w:proofErr w:type="spellStart"/>
      <w:r w:rsidRPr="542A3591">
        <w:rPr>
          <w:b/>
          <w:bCs/>
          <w:color w:val="000000" w:themeColor="text1"/>
          <w:lang w:val="fr-FR"/>
        </w:rPr>
        <w:t>Medication</w:t>
      </w:r>
      <w:proofErr w:type="spellEnd"/>
      <w:r w:rsidRPr="542A3591">
        <w:rPr>
          <w:b/>
          <w:bCs/>
          <w:color w:val="000000" w:themeColor="text1"/>
          <w:lang w:val="fr-FR"/>
        </w:rPr>
        <w:t xml:space="preserve"> </w:t>
      </w:r>
      <w:proofErr w:type="spellStart"/>
      <w:r w:rsidRPr="542A3591">
        <w:rPr>
          <w:b/>
          <w:bCs/>
          <w:color w:val="000000" w:themeColor="text1"/>
          <w:lang w:val="fr-FR"/>
        </w:rPr>
        <w:t>Reviews</w:t>
      </w:r>
      <w:proofErr w:type="spellEnd"/>
      <w:r w:rsidRPr="542A3591">
        <w:rPr>
          <w:b/>
          <w:bCs/>
          <w:color w:val="000000" w:themeColor="text1"/>
          <w:lang w:val="fr-FR"/>
        </w:rPr>
        <w:t xml:space="preserve"> (15 mins) – Clare Thomson</w:t>
      </w:r>
    </w:p>
    <w:tbl>
      <w:tblPr>
        <w:tblStyle w:val="TableGrid"/>
        <w:tblW w:w="9016" w:type="dxa"/>
        <w:tblLook w:val="04A0" w:firstRow="1" w:lastRow="0" w:firstColumn="1" w:lastColumn="0" w:noHBand="0" w:noVBand="1"/>
      </w:tblPr>
      <w:tblGrid>
        <w:gridCol w:w="1380"/>
        <w:gridCol w:w="7636"/>
      </w:tblGrid>
      <w:tr w:rsidR="00D40F08" w:rsidTr="007E1746" w14:paraId="6321D83E" w14:textId="77777777">
        <w:trPr>
          <w:trHeight w:val="273"/>
        </w:trPr>
        <w:tc>
          <w:tcPr>
            <w:tcW w:w="1380" w:type="dxa"/>
          </w:tcPr>
          <w:p w:rsidRPr="004237B3" w:rsidR="00D40F08" w:rsidP="007E1746" w:rsidRDefault="00D40F08" w14:paraId="5C3C82C1" w14:textId="77777777">
            <w:pPr>
              <w:rPr>
                <w:b/>
                <w:bCs/>
              </w:rPr>
            </w:pPr>
            <w:r w:rsidRPr="004237B3">
              <w:rPr>
                <w:b/>
                <w:bCs/>
              </w:rPr>
              <w:t>Description</w:t>
            </w:r>
          </w:p>
        </w:tc>
        <w:tc>
          <w:tcPr>
            <w:tcW w:w="7636" w:type="dxa"/>
          </w:tcPr>
          <w:p w:rsidR="00D40F08" w:rsidP="007E1746" w:rsidRDefault="00C26205" w14:paraId="071E82ED" w14:textId="77777777">
            <w:r>
              <w:t xml:space="preserve">To </w:t>
            </w:r>
            <w:r w:rsidR="00A9542E">
              <w:t>share overarching feedback received and next steps</w:t>
            </w:r>
          </w:p>
          <w:p w:rsidRPr="004237B3" w:rsidR="00A9542E" w:rsidP="007E1746" w:rsidRDefault="00A9542E" w14:paraId="45B59BAB" w14:textId="4EAA06DB"/>
        </w:tc>
      </w:tr>
      <w:tr w:rsidR="00D40F08" w:rsidTr="007E1746" w14:paraId="766841C4" w14:textId="77777777">
        <w:trPr>
          <w:trHeight w:val="638"/>
        </w:trPr>
        <w:tc>
          <w:tcPr>
            <w:tcW w:w="1380" w:type="dxa"/>
          </w:tcPr>
          <w:p w:rsidRPr="004237B3" w:rsidR="00D40F08" w:rsidP="007E1746" w:rsidRDefault="00D40F08" w14:paraId="2471BCA9" w14:textId="77777777">
            <w:pPr>
              <w:rPr>
                <w:b/>
                <w:bCs/>
              </w:rPr>
            </w:pPr>
            <w:r w:rsidRPr="004237B3">
              <w:rPr>
                <w:b/>
                <w:bCs/>
              </w:rPr>
              <w:t>Purpose</w:t>
            </w:r>
          </w:p>
        </w:tc>
        <w:tc>
          <w:tcPr>
            <w:tcW w:w="7636" w:type="dxa"/>
          </w:tcPr>
          <w:p w:rsidRPr="007B312E" w:rsidR="00D40F08" w:rsidP="007E1746" w:rsidRDefault="00A9542E" w14:paraId="3A5F55B8" w14:textId="3CCF3D74">
            <w:pPr>
              <w:pStyle w:val="ListParagraph"/>
              <w:ind w:left="0"/>
            </w:pPr>
            <w:r>
              <w:t>To get any further feedback from PCPEAG members</w:t>
            </w:r>
          </w:p>
        </w:tc>
      </w:tr>
      <w:tr w:rsidR="00D40F08" w:rsidTr="007E1746" w14:paraId="51C187A6" w14:textId="77777777">
        <w:trPr>
          <w:trHeight w:val="568"/>
        </w:trPr>
        <w:tc>
          <w:tcPr>
            <w:tcW w:w="1380" w:type="dxa"/>
          </w:tcPr>
          <w:p w:rsidRPr="004237B3" w:rsidR="00D40F08" w:rsidP="007E1746" w:rsidRDefault="00D40F08" w14:paraId="18AFF8D0" w14:textId="77777777">
            <w:pPr>
              <w:rPr>
                <w:b/>
                <w:bCs/>
              </w:rPr>
            </w:pPr>
            <w:r w:rsidRPr="004237B3">
              <w:rPr>
                <w:b/>
                <w:bCs/>
              </w:rPr>
              <w:t>Outcomes</w:t>
            </w:r>
          </w:p>
        </w:tc>
        <w:tc>
          <w:tcPr>
            <w:tcW w:w="7636" w:type="dxa"/>
          </w:tcPr>
          <w:p w:rsidRPr="0048223E" w:rsidR="00F5186A" w:rsidP="007E1746" w:rsidRDefault="00F5186A" w14:paraId="22C3BAE6" w14:textId="62CE0127">
            <w:r w:rsidRPr="0048223E">
              <w:t>Clare Thomson was welcomed to the meeting and gave a short slide presentation.</w:t>
            </w:r>
          </w:p>
          <w:p w:rsidRPr="0048223E" w:rsidR="00F5186A" w:rsidP="007E1746" w:rsidRDefault="00F5186A" w14:paraId="4C11025B" w14:textId="77777777">
            <w:r w:rsidRPr="0048223E">
              <w:t>HK said her PCN has done some work in this area which she will share with CT.</w:t>
            </w:r>
          </w:p>
          <w:p w:rsidRPr="0048223E" w:rsidR="00F5186A" w:rsidP="007E1746" w:rsidRDefault="00F5186A" w14:paraId="060AF025" w14:textId="162735FF">
            <w:r w:rsidRPr="0048223E">
              <w:t>CT informed the group that they were looking for specific case studies for the report regarding patients who struggle with repeat prescribing.</w:t>
            </w:r>
          </w:p>
          <w:p w:rsidRPr="0048223E" w:rsidR="00F5186A" w:rsidP="007E1746" w:rsidRDefault="00F5186A" w14:paraId="58C4D7F0" w14:textId="77777777">
            <w:r w:rsidRPr="0048223E">
              <w:t xml:space="preserve">CT said that they need definitions in the report for Repeat Medical Check/Medication Review/Structured Medication Review and asked member for their thoughts on the definitions so far. </w:t>
            </w:r>
          </w:p>
          <w:p w:rsidR="002857B8" w:rsidP="007E1746" w:rsidRDefault="00F5186A" w14:paraId="3F58D224" w14:textId="77777777">
            <w:r w:rsidRPr="0048223E">
              <w:t>The members put forward a few amends around timing of review and batch signing of prescriptions</w:t>
            </w:r>
            <w:r w:rsidRPr="0048223E" w:rsidR="002857B8">
              <w:t>.</w:t>
            </w:r>
          </w:p>
          <w:p w:rsidRPr="0048223E" w:rsidR="00A23953" w:rsidP="007E1746" w:rsidRDefault="00A23953" w14:paraId="22A83B6A" w14:textId="77777777"/>
          <w:p w:rsidR="00F5186A" w:rsidP="007E1746" w:rsidRDefault="002857B8" w14:paraId="3FFF87E1" w14:textId="77777777">
            <w:r w:rsidRPr="003F7F50">
              <w:rPr>
                <w:b/>
                <w:bCs/>
              </w:rPr>
              <w:t>Action:</w:t>
            </w:r>
            <w:r w:rsidRPr="0048223E" w:rsidR="00F5186A">
              <w:t xml:space="preserve"> </w:t>
            </w:r>
            <w:r w:rsidRPr="0048223E">
              <w:t xml:space="preserve">members </w:t>
            </w:r>
            <w:r w:rsidRPr="0048223E" w:rsidR="00F5186A">
              <w:t>were asked to review</w:t>
            </w:r>
            <w:r w:rsidRPr="0048223E">
              <w:t xml:space="preserve"> the definitions</w:t>
            </w:r>
            <w:r w:rsidRPr="0048223E" w:rsidR="00F5186A">
              <w:t xml:space="preserve"> outside of the meeting and send any comments to </w:t>
            </w:r>
            <w:hyperlink w:history="1" r:id="rId12">
              <w:r w:rsidRPr="0048223E" w:rsidR="00F5186A">
                <w:rPr>
                  <w:rStyle w:val="Hyperlink"/>
                </w:rPr>
                <w:t>clare.thomson@rpharms.com</w:t>
              </w:r>
            </w:hyperlink>
            <w:r w:rsidRPr="0048223E" w:rsidR="00F5186A">
              <w:t xml:space="preserve"> by latest next week.</w:t>
            </w:r>
          </w:p>
          <w:p w:rsidRPr="000C7A2D" w:rsidR="003F7F50" w:rsidP="007E1746" w:rsidRDefault="003F7F50" w14:paraId="31E8F9BD" w14:textId="63FC5193"/>
        </w:tc>
      </w:tr>
    </w:tbl>
    <w:p w:rsidR="00D40F08" w:rsidP="00D40F08" w:rsidRDefault="00D40F08" w14:paraId="087DC9CB" w14:textId="77777777">
      <w:pPr>
        <w:spacing w:after="0"/>
      </w:pPr>
    </w:p>
    <w:p w:rsidRPr="0044432F" w:rsidR="00B71420" w:rsidP="7B5E0B07" w:rsidRDefault="0024040F" w14:paraId="2A4B0696" w14:textId="3D125901">
      <w:pPr>
        <w:keepNext/>
        <w:keepLines/>
        <w:pBdr>
          <w:bottom w:val="single" w:color="auto" w:sz="4" w:space="1"/>
        </w:pBdr>
        <w:shd w:val="clear" w:color="auto" w:fill="DEEAF6" w:themeFill="accent5" w:themeFillTint="33"/>
        <w:spacing w:before="40" w:after="0"/>
        <w:outlineLvl w:val="1"/>
        <w:rPr>
          <w:rFonts w:asciiTheme="majorHAnsi" w:hAnsiTheme="majorHAnsi" w:eastAsiaTheme="majorEastAsia" w:cstheme="majorBidi"/>
          <w:b/>
          <w:bCs/>
          <w:color w:val="000000" w:themeColor="text1"/>
          <w:sz w:val="26"/>
          <w:szCs w:val="26"/>
        </w:rPr>
      </w:pPr>
      <w:r>
        <w:rPr>
          <w:rFonts w:asciiTheme="majorHAnsi" w:hAnsiTheme="majorHAnsi" w:eastAsiaTheme="majorEastAsia" w:cstheme="majorBidi"/>
          <w:b/>
          <w:bCs/>
          <w:color w:val="000000" w:themeColor="text1"/>
          <w:sz w:val="26"/>
          <w:szCs w:val="26"/>
        </w:rPr>
        <w:t>8</w:t>
      </w:r>
      <w:r w:rsidRPr="7B5E0B07" w:rsidR="7B5E0B07">
        <w:rPr>
          <w:rFonts w:asciiTheme="majorHAnsi" w:hAnsiTheme="majorHAnsi" w:eastAsiaTheme="majorEastAsia" w:cstheme="majorBidi"/>
          <w:b/>
          <w:bCs/>
          <w:color w:val="000000" w:themeColor="text1"/>
          <w:sz w:val="26"/>
          <w:szCs w:val="26"/>
        </w:rPr>
        <w:t xml:space="preserve">: AOB and summary </w:t>
      </w:r>
      <w:r w:rsidR="7B5E0B07">
        <w:t>(</w:t>
      </w:r>
      <w:r w:rsidRPr="7B5E0B07" w:rsidR="7B5E0B07">
        <w:rPr>
          <w:rFonts w:asciiTheme="majorHAnsi" w:hAnsiTheme="majorHAnsi" w:eastAsiaTheme="majorEastAsia" w:cstheme="majorBidi"/>
          <w:b/>
          <w:bCs/>
          <w:color w:val="000000" w:themeColor="text1"/>
          <w:sz w:val="26"/>
          <w:szCs w:val="26"/>
        </w:rPr>
        <w:t>10 mins) -  Anne Thomson</w:t>
      </w:r>
    </w:p>
    <w:tbl>
      <w:tblPr>
        <w:tblStyle w:val="TableGrid"/>
        <w:tblW w:w="9016" w:type="dxa"/>
        <w:tblLook w:val="04A0" w:firstRow="1" w:lastRow="0" w:firstColumn="1" w:lastColumn="0" w:noHBand="0" w:noVBand="1"/>
      </w:tblPr>
      <w:tblGrid>
        <w:gridCol w:w="1365"/>
        <w:gridCol w:w="7651"/>
      </w:tblGrid>
      <w:tr w:rsidR="00B71420" w:rsidTr="7FE6131F" w14:paraId="1974D4BE" w14:textId="77777777">
        <w:trPr>
          <w:trHeight w:val="365"/>
        </w:trPr>
        <w:tc>
          <w:tcPr>
            <w:tcW w:w="1365" w:type="dxa"/>
          </w:tcPr>
          <w:p w:rsidRPr="0089288F" w:rsidR="00B71420" w:rsidP="00365528" w:rsidRDefault="00B71420" w14:paraId="1B4866D6" w14:textId="77777777">
            <w:pPr>
              <w:rPr>
                <w:rFonts w:cstheme="minorHAnsi"/>
                <w:b/>
                <w:bCs/>
              </w:rPr>
            </w:pPr>
            <w:r w:rsidRPr="0089288F">
              <w:rPr>
                <w:rFonts w:cstheme="minorHAnsi"/>
                <w:b/>
                <w:bCs/>
              </w:rPr>
              <w:t>Description</w:t>
            </w:r>
          </w:p>
        </w:tc>
        <w:tc>
          <w:tcPr>
            <w:tcW w:w="7651" w:type="dxa"/>
          </w:tcPr>
          <w:p w:rsidRPr="0048223E" w:rsidR="0048223E" w:rsidP="0048223E" w:rsidRDefault="0048223E" w14:paraId="644F9191" w14:textId="77777777">
            <w:r w:rsidRPr="0048223E">
              <w:t>Summarise key action points</w:t>
            </w:r>
          </w:p>
          <w:p w:rsidRPr="0089288F" w:rsidR="00FD5136" w:rsidP="00A9542E" w:rsidRDefault="00FD5136" w14:paraId="439DD803" w14:textId="2B970657">
            <w:pPr>
              <w:pStyle w:val="PlainText"/>
              <w:rPr>
                <w:rFonts w:asciiTheme="minorHAnsi" w:hAnsiTheme="minorHAnsi" w:cstheme="minorHAnsi"/>
                <w:sz w:val="22"/>
                <w:szCs w:val="22"/>
              </w:rPr>
            </w:pPr>
          </w:p>
        </w:tc>
      </w:tr>
      <w:tr w:rsidR="00B71420" w:rsidTr="7FE6131F" w14:paraId="3F5F1F08" w14:textId="77777777">
        <w:trPr>
          <w:trHeight w:val="568"/>
        </w:trPr>
        <w:tc>
          <w:tcPr>
            <w:tcW w:w="1365" w:type="dxa"/>
          </w:tcPr>
          <w:p w:rsidRPr="0089288F" w:rsidR="00B71420" w:rsidP="00365528" w:rsidRDefault="00B71420" w14:paraId="321234D9" w14:textId="77777777">
            <w:pPr>
              <w:rPr>
                <w:b/>
                <w:bCs/>
              </w:rPr>
            </w:pPr>
            <w:r w:rsidRPr="0089288F">
              <w:rPr>
                <w:b/>
                <w:bCs/>
              </w:rPr>
              <w:t>Purpose</w:t>
            </w:r>
          </w:p>
        </w:tc>
        <w:tc>
          <w:tcPr>
            <w:tcW w:w="7651" w:type="dxa"/>
          </w:tcPr>
          <w:p w:rsidRPr="0089288F" w:rsidR="00B71420" w:rsidP="00365528" w:rsidRDefault="00B71420" w14:paraId="7F8228AB" w14:textId="30B2C2D3">
            <w:pPr>
              <w:shd w:val="clear" w:color="auto" w:fill="FFFFFF"/>
              <w:jc w:val="both"/>
              <w:outlineLvl w:val="0"/>
              <w:rPr>
                <w:rFonts w:ascii="Calibri" w:hAnsi="Calibri" w:cs="Calibri"/>
              </w:rPr>
            </w:pPr>
          </w:p>
        </w:tc>
      </w:tr>
      <w:tr w:rsidR="00B71420" w:rsidTr="7FE6131F" w14:paraId="60426DF8" w14:textId="77777777">
        <w:trPr>
          <w:trHeight w:val="528"/>
        </w:trPr>
        <w:tc>
          <w:tcPr>
            <w:tcW w:w="1365" w:type="dxa"/>
          </w:tcPr>
          <w:p w:rsidRPr="0089288F" w:rsidR="00B71420" w:rsidP="00365528" w:rsidRDefault="00B71420" w14:paraId="3F3659F0" w14:textId="77777777">
            <w:pPr>
              <w:rPr>
                <w:b/>
                <w:bCs/>
              </w:rPr>
            </w:pPr>
            <w:r w:rsidRPr="0089288F">
              <w:rPr>
                <w:b/>
                <w:bCs/>
              </w:rPr>
              <w:t>Outcomes</w:t>
            </w:r>
          </w:p>
        </w:tc>
        <w:tc>
          <w:tcPr>
            <w:tcW w:w="7651" w:type="dxa"/>
          </w:tcPr>
          <w:p w:rsidRPr="0089288F" w:rsidR="00734E3F" w:rsidP="00AB2248" w:rsidRDefault="00734E3F" w14:paraId="23251279" w14:textId="08A2CBF6">
            <w:pPr>
              <w:rPr>
                <w:i/>
                <w:iCs/>
              </w:rPr>
            </w:pPr>
            <w:r w:rsidRPr="0048223E">
              <w:t>There was no other business to discuss.  AT thanked all for coming along to the meeting.</w:t>
            </w:r>
            <w:r w:rsidRPr="0048223E" w:rsidR="001F160B">
              <w:t xml:space="preserve">  The meeting closed at 9.20pm</w:t>
            </w:r>
          </w:p>
        </w:tc>
      </w:tr>
    </w:tbl>
    <w:p w:rsidR="00B71420" w:rsidP="00A75C94" w:rsidRDefault="00B71420" w14:paraId="13BBE4F3" w14:textId="77777777">
      <w:pPr>
        <w:spacing w:after="0"/>
      </w:pPr>
    </w:p>
    <w:p w:rsidR="003F7F50" w:rsidP="3CF62954" w:rsidRDefault="003F7F50" w14:paraId="26D8E139" w14:textId="77777777">
      <w:pPr>
        <w:spacing w:after="0"/>
      </w:pPr>
    </w:p>
    <w:p w:rsidR="3CF62954" w:rsidP="3CF62954" w:rsidRDefault="3CF62954" w14:paraId="02427C9F" w14:textId="2E525022">
      <w:pPr>
        <w:spacing w:after="0"/>
      </w:pPr>
      <w:r>
        <w:t>Future Dates of PCPEAG meetings:</w:t>
      </w:r>
    </w:p>
    <w:p w:rsidR="3CF62954" w:rsidP="3CF62954" w:rsidRDefault="3CF62954" w14:paraId="3CA7CB7E" w14:textId="1AA69A63">
      <w:pPr>
        <w:pStyle w:val="ListParagraph"/>
        <w:numPr>
          <w:ilvl w:val="0"/>
          <w:numId w:val="1"/>
        </w:numPr>
        <w:spacing w:after="0"/>
        <w:rPr>
          <w:rFonts w:ascii="Arial" w:hAnsi="Arial" w:eastAsia="Arial" w:cs="Arial"/>
          <w:sz w:val="20"/>
          <w:szCs w:val="20"/>
        </w:rPr>
      </w:pPr>
      <w:r w:rsidRPr="3CF62954">
        <w:rPr>
          <w:rFonts w:ascii="Arial" w:hAnsi="Arial" w:eastAsia="Arial" w:cs="Arial"/>
          <w:sz w:val="20"/>
          <w:szCs w:val="20"/>
        </w:rPr>
        <w:t>Tuesday 10 Sept 2024</w:t>
      </w:r>
    </w:p>
    <w:sectPr w:rsidR="3CF62954">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6A54" w:rsidP="00E14CCB" w:rsidRDefault="00866A54" w14:paraId="7D307CAD" w14:textId="77777777">
      <w:pPr>
        <w:spacing w:after="0" w:line="240" w:lineRule="auto"/>
      </w:pPr>
      <w:r>
        <w:separator/>
      </w:r>
    </w:p>
  </w:endnote>
  <w:endnote w:type="continuationSeparator" w:id="0">
    <w:p w:rsidR="00866A54" w:rsidP="00E14CCB" w:rsidRDefault="00866A54" w14:paraId="5868E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CA6" w:rsidRDefault="00F57CA6" w14:paraId="450699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CA6" w:rsidRDefault="00F57CA6" w14:paraId="4C11B9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CA6" w:rsidRDefault="00F57CA6" w14:paraId="12B0B4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6A54" w:rsidP="00E14CCB" w:rsidRDefault="00866A54" w14:paraId="788E9015" w14:textId="77777777">
      <w:pPr>
        <w:spacing w:after="0" w:line="240" w:lineRule="auto"/>
      </w:pPr>
      <w:r>
        <w:separator/>
      </w:r>
    </w:p>
  </w:footnote>
  <w:footnote w:type="continuationSeparator" w:id="0">
    <w:p w:rsidR="00866A54" w:rsidP="00E14CCB" w:rsidRDefault="00866A54" w14:paraId="2DE3FC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CA6" w:rsidRDefault="00F57CA6" w14:paraId="197D3C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14CCB" w:rsidRDefault="00E14CCB" w14:paraId="70CD312C" w14:textId="1B373708">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CA6" w:rsidRDefault="00F57CA6" w14:paraId="76C486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DDC6FF6"/>
    <w:multiLevelType w:val="hybridMultilevel"/>
    <w:tmpl w:val="6128C2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9911C0C"/>
    <w:multiLevelType w:val="hybridMultilevel"/>
    <w:tmpl w:val="749279AC"/>
    <w:lvl w:ilvl="0" w:tplc="466AA08A">
      <w:start w:val="1"/>
      <w:numFmt w:val="bullet"/>
      <w:lvlText w:val=""/>
      <w:lvlJc w:val="left"/>
      <w:pPr>
        <w:ind w:left="720" w:hanging="360"/>
      </w:pPr>
      <w:rPr>
        <w:rFonts w:hint="default" w:ascii="Symbol" w:hAnsi="Symbol"/>
      </w:rPr>
    </w:lvl>
    <w:lvl w:ilvl="1" w:tplc="67C203CA">
      <w:start w:val="1"/>
      <w:numFmt w:val="bullet"/>
      <w:lvlText w:val="o"/>
      <w:lvlJc w:val="left"/>
      <w:pPr>
        <w:ind w:left="1440" w:hanging="360"/>
      </w:pPr>
      <w:rPr>
        <w:rFonts w:hint="default" w:ascii="Courier New" w:hAnsi="Courier New"/>
      </w:rPr>
    </w:lvl>
    <w:lvl w:ilvl="2" w:tplc="A40E5066">
      <w:start w:val="1"/>
      <w:numFmt w:val="bullet"/>
      <w:lvlText w:val=""/>
      <w:lvlJc w:val="left"/>
      <w:pPr>
        <w:ind w:left="2160" w:hanging="360"/>
      </w:pPr>
      <w:rPr>
        <w:rFonts w:hint="default" w:ascii="Wingdings" w:hAnsi="Wingdings"/>
      </w:rPr>
    </w:lvl>
    <w:lvl w:ilvl="3" w:tplc="DD3830C8">
      <w:start w:val="1"/>
      <w:numFmt w:val="bullet"/>
      <w:lvlText w:val=""/>
      <w:lvlJc w:val="left"/>
      <w:pPr>
        <w:ind w:left="2880" w:hanging="360"/>
      </w:pPr>
      <w:rPr>
        <w:rFonts w:hint="default" w:ascii="Symbol" w:hAnsi="Symbol"/>
      </w:rPr>
    </w:lvl>
    <w:lvl w:ilvl="4" w:tplc="D698233E">
      <w:start w:val="1"/>
      <w:numFmt w:val="bullet"/>
      <w:lvlText w:val="o"/>
      <w:lvlJc w:val="left"/>
      <w:pPr>
        <w:ind w:left="3600" w:hanging="360"/>
      </w:pPr>
      <w:rPr>
        <w:rFonts w:hint="default" w:ascii="Courier New" w:hAnsi="Courier New"/>
      </w:rPr>
    </w:lvl>
    <w:lvl w:ilvl="5" w:tplc="8AFA029A">
      <w:start w:val="1"/>
      <w:numFmt w:val="bullet"/>
      <w:lvlText w:val=""/>
      <w:lvlJc w:val="left"/>
      <w:pPr>
        <w:ind w:left="4320" w:hanging="360"/>
      </w:pPr>
      <w:rPr>
        <w:rFonts w:hint="default" w:ascii="Wingdings" w:hAnsi="Wingdings"/>
      </w:rPr>
    </w:lvl>
    <w:lvl w:ilvl="6" w:tplc="41E66860">
      <w:start w:val="1"/>
      <w:numFmt w:val="bullet"/>
      <w:lvlText w:val=""/>
      <w:lvlJc w:val="left"/>
      <w:pPr>
        <w:ind w:left="5040" w:hanging="360"/>
      </w:pPr>
      <w:rPr>
        <w:rFonts w:hint="default" w:ascii="Symbol" w:hAnsi="Symbol"/>
      </w:rPr>
    </w:lvl>
    <w:lvl w:ilvl="7" w:tplc="ACDE7482">
      <w:start w:val="1"/>
      <w:numFmt w:val="bullet"/>
      <w:lvlText w:val="o"/>
      <w:lvlJc w:val="left"/>
      <w:pPr>
        <w:ind w:left="5760" w:hanging="360"/>
      </w:pPr>
      <w:rPr>
        <w:rFonts w:hint="default" w:ascii="Courier New" w:hAnsi="Courier New"/>
      </w:rPr>
    </w:lvl>
    <w:lvl w:ilvl="8" w:tplc="375C0D92">
      <w:start w:val="1"/>
      <w:numFmt w:val="bullet"/>
      <w:lvlText w:val=""/>
      <w:lvlJc w:val="left"/>
      <w:pPr>
        <w:ind w:left="6480" w:hanging="360"/>
      </w:pPr>
      <w:rPr>
        <w:rFonts w:hint="default" w:ascii="Wingdings" w:hAnsi="Wingdings"/>
      </w:rPr>
    </w:lvl>
  </w:abstractNum>
  <w:abstractNum w:abstractNumId="5" w15:restartNumberingAfterBreak="0">
    <w:nsid w:val="1D310E52"/>
    <w:multiLevelType w:val="hybridMultilevel"/>
    <w:tmpl w:val="013A4B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2F3D1B"/>
    <w:multiLevelType w:val="hybridMultilevel"/>
    <w:tmpl w:val="FEC0CAA0"/>
    <w:lvl w:ilvl="0" w:tplc="733EA468">
      <w:numFmt w:val="bullet"/>
      <w:lvlText w:val="-"/>
      <w:lvlJc w:val="left"/>
      <w:pPr>
        <w:ind w:left="144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B3C48FB"/>
    <w:multiLevelType w:val="hybridMultilevel"/>
    <w:tmpl w:val="F9C8025A"/>
    <w:lvl w:ilvl="0" w:tplc="79C617AA">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424170"/>
    <w:multiLevelType w:val="hybridMultilevel"/>
    <w:tmpl w:val="AF50FE68"/>
    <w:lvl w:ilvl="0" w:tplc="7AF81846">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3D463BE"/>
    <w:multiLevelType w:val="hybridMultilevel"/>
    <w:tmpl w:val="E8C46D6A"/>
    <w:lvl w:ilvl="0" w:tplc="5238B35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3F798B"/>
    <w:multiLevelType w:val="hybridMultilevel"/>
    <w:tmpl w:val="4850A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E303AD"/>
    <w:multiLevelType w:val="hybridMultilevel"/>
    <w:tmpl w:val="C37AB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2002ED"/>
    <w:multiLevelType w:val="hybridMultilevel"/>
    <w:tmpl w:val="C0948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357C43"/>
    <w:multiLevelType w:val="hybridMultilevel"/>
    <w:tmpl w:val="D15C77B4"/>
    <w:lvl w:ilvl="0" w:tplc="B8AAFAC0">
      <w:start w:val="1"/>
      <w:numFmt w:val="bullet"/>
      <w:lvlText w:val=""/>
      <w:lvlJc w:val="left"/>
      <w:pPr>
        <w:ind w:left="720" w:hanging="360"/>
      </w:pPr>
      <w:rPr>
        <w:rFonts w:hint="default" w:ascii="Symbol" w:hAnsi="Symbol"/>
      </w:rPr>
    </w:lvl>
    <w:lvl w:ilvl="1" w:tplc="48262CA4">
      <w:start w:val="1"/>
      <w:numFmt w:val="bullet"/>
      <w:lvlText w:val="o"/>
      <w:lvlJc w:val="left"/>
      <w:pPr>
        <w:ind w:left="1440" w:hanging="360"/>
      </w:pPr>
      <w:rPr>
        <w:rFonts w:hint="default" w:ascii="Courier New" w:hAnsi="Courier New"/>
      </w:rPr>
    </w:lvl>
    <w:lvl w:ilvl="2" w:tplc="07C2F374">
      <w:start w:val="1"/>
      <w:numFmt w:val="bullet"/>
      <w:lvlText w:val=""/>
      <w:lvlJc w:val="left"/>
      <w:pPr>
        <w:ind w:left="2160" w:hanging="360"/>
      </w:pPr>
      <w:rPr>
        <w:rFonts w:hint="default" w:ascii="Wingdings" w:hAnsi="Wingdings"/>
      </w:rPr>
    </w:lvl>
    <w:lvl w:ilvl="3" w:tplc="565460C4">
      <w:start w:val="1"/>
      <w:numFmt w:val="bullet"/>
      <w:lvlText w:val=""/>
      <w:lvlJc w:val="left"/>
      <w:pPr>
        <w:ind w:left="2880" w:hanging="360"/>
      </w:pPr>
      <w:rPr>
        <w:rFonts w:hint="default" w:ascii="Symbol" w:hAnsi="Symbol"/>
      </w:rPr>
    </w:lvl>
    <w:lvl w:ilvl="4" w:tplc="D19CCF6A">
      <w:start w:val="1"/>
      <w:numFmt w:val="bullet"/>
      <w:lvlText w:val="o"/>
      <w:lvlJc w:val="left"/>
      <w:pPr>
        <w:ind w:left="3600" w:hanging="360"/>
      </w:pPr>
      <w:rPr>
        <w:rFonts w:hint="default" w:ascii="Courier New" w:hAnsi="Courier New"/>
      </w:rPr>
    </w:lvl>
    <w:lvl w:ilvl="5" w:tplc="90C6694A">
      <w:start w:val="1"/>
      <w:numFmt w:val="bullet"/>
      <w:lvlText w:val=""/>
      <w:lvlJc w:val="left"/>
      <w:pPr>
        <w:ind w:left="4320" w:hanging="360"/>
      </w:pPr>
      <w:rPr>
        <w:rFonts w:hint="default" w:ascii="Wingdings" w:hAnsi="Wingdings"/>
      </w:rPr>
    </w:lvl>
    <w:lvl w:ilvl="6" w:tplc="98F8F9B0">
      <w:start w:val="1"/>
      <w:numFmt w:val="bullet"/>
      <w:lvlText w:val=""/>
      <w:lvlJc w:val="left"/>
      <w:pPr>
        <w:ind w:left="5040" w:hanging="360"/>
      </w:pPr>
      <w:rPr>
        <w:rFonts w:hint="default" w:ascii="Symbol" w:hAnsi="Symbol"/>
      </w:rPr>
    </w:lvl>
    <w:lvl w:ilvl="7" w:tplc="9746DC36">
      <w:start w:val="1"/>
      <w:numFmt w:val="bullet"/>
      <w:lvlText w:val="o"/>
      <w:lvlJc w:val="left"/>
      <w:pPr>
        <w:ind w:left="5760" w:hanging="360"/>
      </w:pPr>
      <w:rPr>
        <w:rFonts w:hint="default" w:ascii="Courier New" w:hAnsi="Courier New"/>
      </w:rPr>
    </w:lvl>
    <w:lvl w:ilvl="8" w:tplc="8FFAF460">
      <w:start w:val="1"/>
      <w:numFmt w:val="bullet"/>
      <w:lvlText w:val=""/>
      <w:lvlJc w:val="left"/>
      <w:pPr>
        <w:ind w:left="6480" w:hanging="360"/>
      </w:pPr>
      <w:rPr>
        <w:rFonts w:hint="default" w:ascii="Wingdings" w:hAnsi="Wingdings"/>
      </w:rPr>
    </w:lvl>
  </w:abstractNum>
  <w:abstractNum w:abstractNumId="15" w15:restartNumberingAfterBreak="0">
    <w:nsid w:val="59FE25A5"/>
    <w:multiLevelType w:val="hybridMultilevel"/>
    <w:tmpl w:val="A13CEE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6450DC"/>
    <w:multiLevelType w:val="hybridMultilevel"/>
    <w:tmpl w:val="7C9E5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6C563C6"/>
    <w:multiLevelType w:val="hybridMultilevel"/>
    <w:tmpl w:val="E45C1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ADC533F"/>
    <w:multiLevelType w:val="hybridMultilevel"/>
    <w:tmpl w:val="69486A06"/>
    <w:lvl w:ilvl="0" w:tplc="66065DDE">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A31182"/>
    <w:multiLevelType w:val="hybridMultilevel"/>
    <w:tmpl w:val="9A007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1540102"/>
    <w:multiLevelType w:val="hybridMultilevel"/>
    <w:tmpl w:val="181A1906"/>
    <w:lvl w:ilvl="0" w:tplc="79C617AA">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77C33C0"/>
    <w:multiLevelType w:val="hybridMultilevel"/>
    <w:tmpl w:val="F8D214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C4661CF"/>
    <w:multiLevelType w:val="hybridMultilevel"/>
    <w:tmpl w:val="B03434EE"/>
    <w:lvl w:ilvl="0" w:tplc="733EA468">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820879489">
    <w:abstractNumId w:val="4"/>
  </w:num>
  <w:num w:numId="2" w16cid:durableId="1469861463">
    <w:abstractNumId w:val="14"/>
  </w:num>
  <w:num w:numId="3" w16cid:durableId="428359493">
    <w:abstractNumId w:val="12"/>
  </w:num>
  <w:num w:numId="4" w16cid:durableId="1600333723">
    <w:abstractNumId w:val="16"/>
  </w:num>
  <w:num w:numId="5" w16cid:durableId="422608730">
    <w:abstractNumId w:val="17"/>
  </w:num>
  <w:num w:numId="6" w16cid:durableId="1873377491">
    <w:abstractNumId w:val="21"/>
  </w:num>
  <w:num w:numId="7" w16cid:durableId="1765491290">
    <w:abstractNumId w:val="1"/>
  </w:num>
  <w:num w:numId="8" w16cid:durableId="687372866">
    <w:abstractNumId w:val="3"/>
  </w:num>
  <w:num w:numId="9" w16cid:durableId="342517176">
    <w:abstractNumId w:val="0"/>
  </w:num>
  <w:num w:numId="10" w16cid:durableId="1224297776">
    <w:abstractNumId w:val="13"/>
  </w:num>
  <w:num w:numId="11" w16cid:durableId="1226843299">
    <w:abstractNumId w:val="18"/>
  </w:num>
  <w:num w:numId="12" w16cid:durableId="95909134">
    <w:abstractNumId w:val="8"/>
  </w:num>
  <w:num w:numId="13" w16cid:durableId="1334260094">
    <w:abstractNumId w:val="2"/>
  </w:num>
  <w:num w:numId="14" w16cid:durableId="1925526153">
    <w:abstractNumId w:val="22"/>
  </w:num>
  <w:num w:numId="15" w16cid:durableId="201984590">
    <w:abstractNumId w:val="9"/>
  </w:num>
  <w:num w:numId="16" w16cid:durableId="1616407232">
    <w:abstractNumId w:val="6"/>
  </w:num>
  <w:num w:numId="17" w16cid:durableId="478497986">
    <w:abstractNumId w:val="20"/>
  </w:num>
  <w:num w:numId="18" w16cid:durableId="514727754">
    <w:abstractNumId w:val="7"/>
  </w:num>
  <w:num w:numId="19" w16cid:durableId="549346689">
    <w:abstractNumId w:val="10"/>
  </w:num>
  <w:num w:numId="20" w16cid:durableId="987053139">
    <w:abstractNumId w:val="5"/>
  </w:num>
  <w:num w:numId="21" w16cid:durableId="1537237940">
    <w:abstractNumId w:val="19"/>
  </w:num>
  <w:num w:numId="22" w16cid:durableId="416755572">
    <w:abstractNumId w:val="15"/>
  </w:num>
  <w:num w:numId="23" w16cid:durableId="1621260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1C6A"/>
    <w:rsid w:val="00024749"/>
    <w:rsid w:val="00024F7C"/>
    <w:rsid w:val="000252C2"/>
    <w:rsid w:val="00035C75"/>
    <w:rsid w:val="0004053B"/>
    <w:rsid w:val="0004414A"/>
    <w:rsid w:val="00046FE2"/>
    <w:rsid w:val="00070D06"/>
    <w:rsid w:val="00075C71"/>
    <w:rsid w:val="00076F9A"/>
    <w:rsid w:val="00087631"/>
    <w:rsid w:val="000877BA"/>
    <w:rsid w:val="000A0C1D"/>
    <w:rsid w:val="000B22F5"/>
    <w:rsid w:val="000B43CF"/>
    <w:rsid w:val="000C3BA1"/>
    <w:rsid w:val="000C5A09"/>
    <w:rsid w:val="000C6B08"/>
    <w:rsid w:val="000C7A2D"/>
    <w:rsid w:val="00121176"/>
    <w:rsid w:val="00144E35"/>
    <w:rsid w:val="0015099B"/>
    <w:rsid w:val="001527E0"/>
    <w:rsid w:val="00176C8A"/>
    <w:rsid w:val="00183BA0"/>
    <w:rsid w:val="001B138E"/>
    <w:rsid w:val="001E764A"/>
    <w:rsid w:val="001F160B"/>
    <w:rsid w:val="001F23F5"/>
    <w:rsid w:val="001F6DF3"/>
    <w:rsid w:val="00206511"/>
    <w:rsid w:val="002374E0"/>
    <w:rsid w:val="0024040F"/>
    <w:rsid w:val="00246364"/>
    <w:rsid w:val="00246A47"/>
    <w:rsid w:val="00262DBA"/>
    <w:rsid w:val="0026426F"/>
    <w:rsid w:val="00267351"/>
    <w:rsid w:val="002857B8"/>
    <w:rsid w:val="00296ACA"/>
    <w:rsid w:val="002A1814"/>
    <w:rsid w:val="002B7F1E"/>
    <w:rsid w:val="002C39A3"/>
    <w:rsid w:val="002E409B"/>
    <w:rsid w:val="003058A6"/>
    <w:rsid w:val="00327C7D"/>
    <w:rsid w:val="00331BD5"/>
    <w:rsid w:val="00346E9A"/>
    <w:rsid w:val="00355A75"/>
    <w:rsid w:val="00357E03"/>
    <w:rsid w:val="00382E8B"/>
    <w:rsid w:val="00384591"/>
    <w:rsid w:val="003C0113"/>
    <w:rsid w:val="003C742E"/>
    <w:rsid w:val="003D2558"/>
    <w:rsid w:val="003F7F50"/>
    <w:rsid w:val="00406D39"/>
    <w:rsid w:val="00406F24"/>
    <w:rsid w:val="0041014A"/>
    <w:rsid w:val="004130F1"/>
    <w:rsid w:val="004152D5"/>
    <w:rsid w:val="00416B8E"/>
    <w:rsid w:val="00417A2D"/>
    <w:rsid w:val="004237B3"/>
    <w:rsid w:val="00425828"/>
    <w:rsid w:val="0044432F"/>
    <w:rsid w:val="004549B4"/>
    <w:rsid w:val="00461ECB"/>
    <w:rsid w:val="004712F0"/>
    <w:rsid w:val="0048223E"/>
    <w:rsid w:val="004A4074"/>
    <w:rsid w:val="004A76F5"/>
    <w:rsid w:val="004A7E23"/>
    <w:rsid w:val="004C24B2"/>
    <w:rsid w:val="004C4897"/>
    <w:rsid w:val="004D503E"/>
    <w:rsid w:val="004E3778"/>
    <w:rsid w:val="004E5615"/>
    <w:rsid w:val="004F6BD6"/>
    <w:rsid w:val="00500E39"/>
    <w:rsid w:val="0051027F"/>
    <w:rsid w:val="00523034"/>
    <w:rsid w:val="00530FA9"/>
    <w:rsid w:val="00552F44"/>
    <w:rsid w:val="0056385B"/>
    <w:rsid w:val="0057039E"/>
    <w:rsid w:val="005734B9"/>
    <w:rsid w:val="005B586C"/>
    <w:rsid w:val="005C6BB9"/>
    <w:rsid w:val="005D12E6"/>
    <w:rsid w:val="005E3EA7"/>
    <w:rsid w:val="005F3EF1"/>
    <w:rsid w:val="005F7189"/>
    <w:rsid w:val="00600A65"/>
    <w:rsid w:val="0061467C"/>
    <w:rsid w:val="006255E1"/>
    <w:rsid w:val="00634AB0"/>
    <w:rsid w:val="006363F0"/>
    <w:rsid w:val="00692FEC"/>
    <w:rsid w:val="006B567E"/>
    <w:rsid w:val="006B7EE1"/>
    <w:rsid w:val="006C726C"/>
    <w:rsid w:val="006C7D41"/>
    <w:rsid w:val="006D0ABB"/>
    <w:rsid w:val="006D7449"/>
    <w:rsid w:val="006E4466"/>
    <w:rsid w:val="006F15D8"/>
    <w:rsid w:val="006F2D7B"/>
    <w:rsid w:val="0072482C"/>
    <w:rsid w:val="00734E3F"/>
    <w:rsid w:val="007510AD"/>
    <w:rsid w:val="00764B07"/>
    <w:rsid w:val="0077311F"/>
    <w:rsid w:val="00776282"/>
    <w:rsid w:val="00782D7B"/>
    <w:rsid w:val="00783A0E"/>
    <w:rsid w:val="00787DBB"/>
    <w:rsid w:val="007913BF"/>
    <w:rsid w:val="00793075"/>
    <w:rsid w:val="00794790"/>
    <w:rsid w:val="007B312E"/>
    <w:rsid w:val="007C0870"/>
    <w:rsid w:val="007C35CF"/>
    <w:rsid w:val="007D1116"/>
    <w:rsid w:val="007E1598"/>
    <w:rsid w:val="007E5BEC"/>
    <w:rsid w:val="007F622D"/>
    <w:rsid w:val="007F69C7"/>
    <w:rsid w:val="00803D73"/>
    <w:rsid w:val="008333F8"/>
    <w:rsid w:val="00836EE8"/>
    <w:rsid w:val="00854AC4"/>
    <w:rsid w:val="00866A54"/>
    <w:rsid w:val="00866AE1"/>
    <w:rsid w:val="00873252"/>
    <w:rsid w:val="00873290"/>
    <w:rsid w:val="00874B1D"/>
    <w:rsid w:val="0088199B"/>
    <w:rsid w:val="008927DB"/>
    <w:rsid w:val="0089288F"/>
    <w:rsid w:val="00894E62"/>
    <w:rsid w:val="008E389E"/>
    <w:rsid w:val="00907617"/>
    <w:rsid w:val="00911673"/>
    <w:rsid w:val="0091423A"/>
    <w:rsid w:val="0093351D"/>
    <w:rsid w:val="0094183F"/>
    <w:rsid w:val="009644BF"/>
    <w:rsid w:val="0096798E"/>
    <w:rsid w:val="00990A5F"/>
    <w:rsid w:val="009A7AAB"/>
    <w:rsid w:val="00A13003"/>
    <w:rsid w:val="00A21384"/>
    <w:rsid w:val="00A23953"/>
    <w:rsid w:val="00A60E8E"/>
    <w:rsid w:val="00A73729"/>
    <w:rsid w:val="00A75C94"/>
    <w:rsid w:val="00A7753E"/>
    <w:rsid w:val="00A85851"/>
    <w:rsid w:val="00A94A2E"/>
    <w:rsid w:val="00A9542E"/>
    <w:rsid w:val="00AB2248"/>
    <w:rsid w:val="00AB2987"/>
    <w:rsid w:val="00AC0548"/>
    <w:rsid w:val="00AC7955"/>
    <w:rsid w:val="00AD17D0"/>
    <w:rsid w:val="00AE5625"/>
    <w:rsid w:val="00B01DCF"/>
    <w:rsid w:val="00B2460C"/>
    <w:rsid w:val="00B27D84"/>
    <w:rsid w:val="00B34421"/>
    <w:rsid w:val="00B54907"/>
    <w:rsid w:val="00B653A2"/>
    <w:rsid w:val="00B71420"/>
    <w:rsid w:val="00B91B5C"/>
    <w:rsid w:val="00B95E6F"/>
    <w:rsid w:val="00B97589"/>
    <w:rsid w:val="00BA5671"/>
    <w:rsid w:val="00BA6489"/>
    <w:rsid w:val="00BC37AC"/>
    <w:rsid w:val="00BC5A69"/>
    <w:rsid w:val="00BD2248"/>
    <w:rsid w:val="00BD4746"/>
    <w:rsid w:val="00BD5AB6"/>
    <w:rsid w:val="00BE5822"/>
    <w:rsid w:val="00BF5B3B"/>
    <w:rsid w:val="00C0229B"/>
    <w:rsid w:val="00C03D08"/>
    <w:rsid w:val="00C2084A"/>
    <w:rsid w:val="00C2595E"/>
    <w:rsid w:val="00C261E6"/>
    <w:rsid w:val="00C26205"/>
    <w:rsid w:val="00C35C46"/>
    <w:rsid w:val="00C56277"/>
    <w:rsid w:val="00C5682A"/>
    <w:rsid w:val="00C77D73"/>
    <w:rsid w:val="00C834C9"/>
    <w:rsid w:val="00C90D6E"/>
    <w:rsid w:val="00C97A6A"/>
    <w:rsid w:val="00CA4263"/>
    <w:rsid w:val="00CA621E"/>
    <w:rsid w:val="00CC7679"/>
    <w:rsid w:val="00CE1007"/>
    <w:rsid w:val="00CF0B7F"/>
    <w:rsid w:val="00CF2522"/>
    <w:rsid w:val="00CF490F"/>
    <w:rsid w:val="00D06CE2"/>
    <w:rsid w:val="00D124EE"/>
    <w:rsid w:val="00D132B8"/>
    <w:rsid w:val="00D14202"/>
    <w:rsid w:val="00D219DE"/>
    <w:rsid w:val="00D40F08"/>
    <w:rsid w:val="00D43CB3"/>
    <w:rsid w:val="00D560DC"/>
    <w:rsid w:val="00D70791"/>
    <w:rsid w:val="00D77B9C"/>
    <w:rsid w:val="00D949D6"/>
    <w:rsid w:val="00D97C21"/>
    <w:rsid w:val="00DA48C2"/>
    <w:rsid w:val="00DB05F0"/>
    <w:rsid w:val="00DB2E68"/>
    <w:rsid w:val="00DC1981"/>
    <w:rsid w:val="00DC20FA"/>
    <w:rsid w:val="00DE19B1"/>
    <w:rsid w:val="00E14CCB"/>
    <w:rsid w:val="00E22779"/>
    <w:rsid w:val="00E350BA"/>
    <w:rsid w:val="00E71ACA"/>
    <w:rsid w:val="00E836F9"/>
    <w:rsid w:val="00E84C58"/>
    <w:rsid w:val="00E963C8"/>
    <w:rsid w:val="00EA01DF"/>
    <w:rsid w:val="00EC1F3D"/>
    <w:rsid w:val="00EC55EE"/>
    <w:rsid w:val="00ED2B68"/>
    <w:rsid w:val="00F13470"/>
    <w:rsid w:val="00F270BE"/>
    <w:rsid w:val="00F27759"/>
    <w:rsid w:val="00F41A50"/>
    <w:rsid w:val="00F41DFD"/>
    <w:rsid w:val="00F5186A"/>
    <w:rsid w:val="00F57CA6"/>
    <w:rsid w:val="00F63C83"/>
    <w:rsid w:val="00F76B78"/>
    <w:rsid w:val="00F90655"/>
    <w:rsid w:val="00FA408B"/>
    <w:rsid w:val="00FD5136"/>
    <w:rsid w:val="00FE4C3F"/>
    <w:rsid w:val="00FE789D"/>
    <w:rsid w:val="00FF3C6B"/>
    <w:rsid w:val="1CEEC284"/>
    <w:rsid w:val="2BD831D1"/>
    <w:rsid w:val="3B33032E"/>
    <w:rsid w:val="3CF62954"/>
    <w:rsid w:val="4B912CE5"/>
    <w:rsid w:val="542A3591"/>
    <w:rsid w:val="57DF0A69"/>
    <w:rsid w:val="58FC081B"/>
    <w:rsid w:val="598300E4"/>
    <w:rsid w:val="5A8CE91A"/>
    <w:rsid w:val="67C0D3AD"/>
    <w:rsid w:val="6A4E4F6E"/>
    <w:rsid w:val="6AAF4FD0"/>
    <w:rsid w:val="74196BDC"/>
    <w:rsid w:val="7540FD09"/>
    <w:rsid w:val="7B5E0B07"/>
    <w:rsid w:val="7FE61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130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4130F1"/>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4130F1"/>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styleId="UnresolvedMention1" w:customStyle="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styleId="CommentTextChar" w:customStyle="1">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styleId="CommentSubjectChar" w:customStyle="1">
    <w:name w:val="Comment Subject Char"/>
    <w:basedOn w:val="CommentTextChar"/>
    <w:link w:val="CommentSubject"/>
    <w:uiPriority w:val="99"/>
    <w:semiHidden/>
    <w:rsid w:val="004C4897"/>
    <w:rPr>
      <w:b/>
      <w:bCs/>
      <w:sz w:val="20"/>
      <w:szCs w:val="20"/>
    </w:rPr>
  </w:style>
  <w:style w:type="character" w:styleId="UnresolvedMention2" w:customStyle="1">
    <w:name w:val="Unresolved Mention2"/>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styleId="PlainTextChar" w:customStyle="1">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styleId="xxmsolistparagraph" w:customStyle="1">
    <w:name w:val="x_x_msolistparagraph"/>
    <w:basedOn w:val="Normal"/>
    <w:rsid w:val="00CC7679"/>
    <w:pPr>
      <w:spacing w:after="0" w:line="240" w:lineRule="auto"/>
      <w:ind w:left="720"/>
    </w:pPr>
    <w:rPr>
      <w:rFonts w:ascii="Calibri" w:hAnsi="Calibri" w:cs="Calibri"/>
      <w:lang w:eastAsia="en-GB"/>
    </w:rPr>
  </w:style>
  <w:style w:type="character" w:styleId="UnresolvedMention3" w:customStyle="1">
    <w:name w:val="Unresolved Mention3"/>
    <w:basedOn w:val="DefaultParagraphFont"/>
    <w:uiPriority w:val="99"/>
    <w:semiHidden/>
    <w:unhideWhenUsed/>
    <w:rsid w:val="00001C6A"/>
    <w:rPr>
      <w:color w:val="605E5C"/>
      <w:shd w:val="clear" w:color="auto" w:fill="E1DFDD"/>
    </w:rPr>
  </w:style>
  <w:style w:type="character" w:styleId="UnresolvedMention">
    <w:name w:val="Unresolved Mention"/>
    <w:basedOn w:val="DefaultParagraphFont"/>
    <w:uiPriority w:val="99"/>
    <w:semiHidden/>
    <w:unhideWhenUsed/>
    <w:rsid w:val="0078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4373">
      <w:bodyDiv w:val="1"/>
      <w:marLeft w:val="0"/>
      <w:marRight w:val="0"/>
      <w:marTop w:val="0"/>
      <w:marBottom w:val="0"/>
      <w:divBdr>
        <w:top w:val="none" w:sz="0" w:space="0" w:color="auto"/>
        <w:left w:val="none" w:sz="0" w:space="0" w:color="auto"/>
        <w:bottom w:val="none" w:sz="0" w:space="0" w:color="auto"/>
        <w:right w:val="none" w:sz="0" w:space="0" w:color="auto"/>
      </w:divBdr>
    </w:div>
    <w:div w:id="108281156">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84120697">
      <w:bodyDiv w:val="1"/>
      <w:marLeft w:val="0"/>
      <w:marRight w:val="0"/>
      <w:marTop w:val="0"/>
      <w:marBottom w:val="0"/>
      <w:divBdr>
        <w:top w:val="none" w:sz="0" w:space="0" w:color="auto"/>
        <w:left w:val="none" w:sz="0" w:space="0" w:color="auto"/>
        <w:bottom w:val="none" w:sz="0" w:space="0" w:color="auto"/>
        <w:right w:val="none" w:sz="0" w:space="0" w:color="auto"/>
      </w:divBdr>
    </w:div>
    <w:div w:id="576593176">
      <w:bodyDiv w:val="1"/>
      <w:marLeft w:val="0"/>
      <w:marRight w:val="0"/>
      <w:marTop w:val="0"/>
      <w:marBottom w:val="0"/>
      <w:divBdr>
        <w:top w:val="none" w:sz="0" w:space="0" w:color="auto"/>
        <w:left w:val="none" w:sz="0" w:space="0" w:color="auto"/>
        <w:bottom w:val="none" w:sz="0" w:space="0" w:color="auto"/>
        <w:right w:val="none" w:sz="0" w:space="0" w:color="auto"/>
      </w:divBdr>
    </w:div>
    <w:div w:id="774327173">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37920915">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63467965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pharms.com/recognition/all-our-campaigns/policy-a-z/shortage-policy"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hyperlink" Target="https://www.rpharms.com/resources/pharmacy-guides/medicine-shortages-in-community-pharmacy" TargetMode="External" Id="rId7" /><Relationship Type="http://schemas.openxmlformats.org/officeDocument/2006/relationships/hyperlink" Target="mailto:clare.thomson@rpharms.com"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england.nhs.uk/long-read/digital-clinical-safety-assurance/"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portal.e-lfh.org.uk/myElearning/Index?HierarchyId=0_56030_56030&amp;programmeId=56030"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gov.uk/government/calls-for-evidence/fit-note-reform-call-for-evidence/fit-note-reform-call-for-evidence" TargetMode="Externa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Morrison</dc:creator>
  <keywords/>
  <dc:description/>
  <lastModifiedBy>Heidi Wright</lastModifiedBy>
  <revision>6</revision>
  <dcterms:created xsi:type="dcterms:W3CDTF">2024-05-22T12:33:00.0000000Z</dcterms:created>
  <dcterms:modified xsi:type="dcterms:W3CDTF">2024-06-03T08:01:23.3806051Z</dcterms:modified>
</coreProperties>
</file>