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4AD" w14:textId="17BCB30C" w:rsidR="004130F1" w:rsidRDefault="7540FD09" w:rsidP="7540FD09">
      <w:pPr>
        <w:pStyle w:val="Heading1"/>
        <w:rPr>
          <w:rFonts w:asciiTheme="minorHAnsi" w:eastAsiaTheme="minorEastAsia" w:hAnsiTheme="minorHAnsi" w:cstheme="minorBidi"/>
          <w:b/>
          <w:bCs/>
          <w:sz w:val="24"/>
          <w:szCs w:val="24"/>
        </w:rPr>
      </w:pPr>
      <w:r w:rsidRPr="7540FD09">
        <w:rPr>
          <w:rFonts w:asciiTheme="minorHAnsi" w:eastAsiaTheme="minorEastAsia" w:hAnsiTheme="minorHAnsi" w:cstheme="minorBidi"/>
          <w:b/>
          <w:bCs/>
          <w:sz w:val="24"/>
          <w:szCs w:val="24"/>
        </w:rPr>
        <w:t>Primary Care Pharmacy Expert Advisory Group Agenda</w:t>
      </w:r>
      <w:r w:rsidR="00E35D68">
        <w:rPr>
          <w:rFonts w:asciiTheme="minorHAnsi" w:eastAsiaTheme="minorEastAsia" w:hAnsiTheme="minorHAnsi" w:cstheme="minorBidi"/>
          <w:b/>
          <w:bCs/>
          <w:sz w:val="24"/>
          <w:szCs w:val="24"/>
        </w:rPr>
        <w:t xml:space="preserve"> and Notes</w:t>
      </w:r>
    </w:p>
    <w:p w14:paraId="08659CC0" w14:textId="77777777" w:rsidR="00787DBB" w:rsidRPr="00787DBB" w:rsidRDefault="00787DBB" w:rsidP="7540FD09">
      <w:pPr>
        <w:rPr>
          <w:rFonts w:eastAsiaTheme="minorEastAsia"/>
          <w:sz w:val="24"/>
          <w:szCs w:val="24"/>
        </w:rPr>
      </w:pPr>
    </w:p>
    <w:p w14:paraId="0E8DBCCC" w14:textId="0979FED9" w:rsidR="00787DBB" w:rsidRDefault="7540FD09" w:rsidP="7540FD09">
      <w:pPr>
        <w:spacing w:after="0"/>
        <w:rPr>
          <w:rFonts w:eastAsiaTheme="minorEastAsia"/>
          <w:sz w:val="24"/>
          <w:szCs w:val="24"/>
        </w:rPr>
      </w:pPr>
      <w:r w:rsidRPr="7540FD09">
        <w:rPr>
          <w:rFonts w:eastAsiaTheme="minorEastAsia"/>
          <w:b/>
          <w:bCs/>
          <w:sz w:val="24"/>
          <w:szCs w:val="24"/>
        </w:rPr>
        <w:t>Tuesday 26 September 2023 19.00 – 21.00 By Zoom</w:t>
      </w:r>
    </w:p>
    <w:p w14:paraId="7993DCBF" w14:textId="2D11863E" w:rsidR="00854AC4" w:rsidRPr="00854AC4" w:rsidRDefault="00854AC4" w:rsidP="00854AC4">
      <w:pPr>
        <w:spacing w:after="0"/>
      </w:pPr>
    </w:p>
    <w:p w14:paraId="0533286C" w14:textId="6C8F1E1B" w:rsidR="00BE5822" w:rsidRDefault="00BE5822" w:rsidP="004130F1">
      <w:pPr>
        <w:spacing w:after="0"/>
      </w:pPr>
    </w:p>
    <w:p w14:paraId="671EF214" w14:textId="7B3DC1E7" w:rsidR="004130F1" w:rsidRPr="004130F1" w:rsidRDefault="5A8CE91A" w:rsidP="004130F1">
      <w:pPr>
        <w:pStyle w:val="Heading2"/>
        <w:pBdr>
          <w:bottom w:val="single" w:sz="4" w:space="1" w:color="auto"/>
        </w:pBdr>
        <w:shd w:val="clear" w:color="auto" w:fill="DEEAF6" w:themeFill="accent5" w:themeFillTint="33"/>
        <w:rPr>
          <w:b/>
          <w:bCs/>
          <w:color w:val="000000" w:themeColor="text1"/>
        </w:rPr>
      </w:pPr>
      <w:r w:rsidRPr="5A8CE91A">
        <w:rPr>
          <w:b/>
          <w:bCs/>
          <w:color w:val="000000" w:themeColor="text1"/>
        </w:rPr>
        <w:t xml:space="preserve">1: Welcome, Apologies and introduction (10 mins) </w:t>
      </w:r>
      <w:proofErr w:type="gramStart"/>
      <w:r w:rsidRPr="5A8CE91A">
        <w:rPr>
          <w:b/>
          <w:bCs/>
          <w:color w:val="000000" w:themeColor="text1"/>
        </w:rPr>
        <w:t>-  Anne</w:t>
      </w:r>
      <w:proofErr w:type="gramEnd"/>
      <w:r w:rsidRPr="5A8CE91A">
        <w:rPr>
          <w:b/>
          <w:bCs/>
          <w:color w:val="000000" w:themeColor="text1"/>
        </w:rPr>
        <w:t xml:space="preserve"> Thomson</w:t>
      </w:r>
    </w:p>
    <w:tbl>
      <w:tblPr>
        <w:tblStyle w:val="TableGrid"/>
        <w:tblW w:w="9016" w:type="dxa"/>
        <w:tblLook w:val="04A0" w:firstRow="1" w:lastRow="0" w:firstColumn="1" w:lastColumn="0" w:noHBand="0" w:noVBand="1"/>
      </w:tblPr>
      <w:tblGrid>
        <w:gridCol w:w="1365"/>
        <w:gridCol w:w="7651"/>
      </w:tblGrid>
      <w:tr w:rsidR="000A0C1D" w:rsidRPr="004237B3" w14:paraId="6A72F8F9" w14:textId="77777777" w:rsidTr="1CEEC284">
        <w:trPr>
          <w:trHeight w:val="273"/>
        </w:trPr>
        <w:tc>
          <w:tcPr>
            <w:tcW w:w="1365" w:type="dxa"/>
          </w:tcPr>
          <w:p w14:paraId="2CC930B5" w14:textId="77777777" w:rsidR="000A0C1D" w:rsidRPr="004237B3" w:rsidRDefault="000A0C1D" w:rsidP="008805EB">
            <w:pPr>
              <w:rPr>
                <w:b/>
                <w:bCs/>
              </w:rPr>
            </w:pPr>
            <w:r w:rsidRPr="004237B3">
              <w:rPr>
                <w:b/>
                <w:bCs/>
              </w:rPr>
              <w:t>Description</w:t>
            </w:r>
          </w:p>
        </w:tc>
        <w:tc>
          <w:tcPr>
            <w:tcW w:w="7651" w:type="dxa"/>
          </w:tcPr>
          <w:p w14:paraId="76F60891" w14:textId="0D480EE3" w:rsidR="007510AD" w:rsidRDefault="1CEEC284" w:rsidP="00782D7B">
            <w:r>
              <w:t xml:space="preserve">To welcome, note apologies and introduction to the content of the </w:t>
            </w:r>
            <w:proofErr w:type="gramStart"/>
            <w:r>
              <w:t>meeting</w:t>
            </w:r>
            <w:proofErr w:type="gramEnd"/>
          </w:p>
          <w:p w14:paraId="3D5E6C71" w14:textId="459818A3" w:rsidR="00782D7B" w:rsidRPr="00782D7B" w:rsidRDefault="00782D7B" w:rsidP="00782D7B">
            <w:pPr>
              <w:rPr>
                <w:rFonts w:cstheme="minorHAnsi"/>
              </w:rPr>
            </w:pPr>
          </w:p>
        </w:tc>
      </w:tr>
      <w:tr w:rsidR="000A0C1D" w:rsidRPr="007C0870" w14:paraId="71C4A3D0" w14:textId="77777777" w:rsidTr="00C075F4">
        <w:trPr>
          <w:trHeight w:val="479"/>
        </w:trPr>
        <w:tc>
          <w:tcPr>
            <w:tcW w:w="1365" w:type="dxa"/>
          </w:tcPr>
          <w:p w14:paraId="57C66510" w14:textId="77777777" w:rsidR="000A0C1D" w:rsidRPr="004237B3" w:rsidRDefault="000A0C1D" w:rsidP="008805EB">
            <w:pPr>
              <w:rPr>
                <w:b/>
                <w:bCs/>
              </w:rPr>
            </w:pPr>
            <w:r w:rsidRPr="004237B3">
              <w:rPr>
                <w:b/>
                <w:bCs/>
              </w:rPr>
              <w:t>Purpose</w:t>
            </w:r>
          </w:p>
        </w:tc>
        <w:tc>
          <w:tcPr>
            <w:tcW w:w="7651" w:type="dxa"/>
          </w:tcPr>
          <w:p w14:paraId="711FF345" w14:textId="1204FC10" w:rsidR="006F15D8" w:rsidRPr="00FD5136" w:rsidRDefault="00DE19B1" w:rsidP="00DE19B1">
            <w:pPr>
              <w:rPr>
                <w:rFonts w:cstheme="minorHAnsi"/>
              </w:rPr>
            </w:pPr>
            <w:r>
              <w:rPr>
                <w:rFonts w:cstheme="minorHAnsi"/>
              </w:rPr>
              <w:t>To r</w:t>
            </w:r>
            <w:r w:rsidR="00070D06">
              <w:rPr>
                <w:rFonts w:cstheme="minorHAnsi"/>
              </w:rPr>
              <w:t xml:space="preserve">aise any matters arising </w:t>
            </w:r>
          </w:p>
        </w:tc>
      </w:tr>
      <w:tr w:rsidR="000A0C1D" w:rsidRPr="000C7A2D" w14:paraId="3BE1B3B7" w14:textId="77777777" w:rsidTr="00206BEA">
        <w:trPr>
          <w:trHeight w:val="643"/>
        </w:trPr>
        <w:tc>
          <w:tcPr>
            <w:tcW w:w="1365" w:type="dxa"/>
          </w:tcPr>
          <w:p w14:paraId="1FCD453F" w14:textId="77777777" w:rsidR="000A0C1D" w:rsidRPr="004237B3" w:rsidRDefault="000A0C1D" w:rsidP="008805EB">
            <w:pPr>
              <w:rPr>
                <w:b/>
                <w:bCs/>
              </w:rPr>
            </w:pPr>
            <w:r w:rsidRPr="004237B3">
              <w:rPr>
                <w:b/>
                <w:bCs/>
              </w:rPr>
              <w:t>Outcomes</w:t>
            </w:r>
          </w:p>
        </w:tc>
        <w:tc>
          <w:tcPr>
            <w:tcW w:w="7651" w:type="dxa"/>
          </w:tcPr>
          <w:p w14:paraId="4AF26C7B" w14:textId="2CA59E4A" w:rsidR="001D5A9B" w:rsidRPr="00B95489" w:rsidRDefault="001D5A9B" w:rsidP="001D5A9B">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Calibri" w:hAnsi="Calibri" w:cs="Calibri"/>
                <w:b/>
                <w:bCs/>
                <w:sz w:val="22"/>
                <w:szCs w:val="22"/>
              </w:rPr>
              <w:t>Attendees</w:t>
            </w:r>
            <w:r>
              <w:rPr>
                <w:rStyle w:val="eop"/>
                <w:rFonts w:ascii="Calibri" w:hAnsi="Calibri" w:cs="Calibri"/>
                <w:sz w:val="22"/>
                <w:szCs w:val="22"/>
              </w:rPr>
              <w:t> </w:t>
            </w:r>
          </w:p>
          <w:p w14:paraId="6E82A665" w14:textId="3CE6B22B" w:rsidR="00B95489" w:rsidRPr="008565EC" w:rsidRDefault="00B95489" w:rsidP="001D5A9B">
            <w:pPr>
              <w:pStyle w:val="paragraph"/>
              <w:spacing w:before="0" w:beforeAutospacing="0" w:after="0" w:afterAutospacing="0"/>
              <w:textAlignment w:val="baseline"/>
              <w:rPr>
                <w:rStyle w:val="normaltextrun"/>
                <w:rFonts w:asciiTheme="minorHAnsi" w:hAnsiTheme="minorHAnsi" w:cstheme="minorHAnsi"/>
                <w:sz w:val="22"/>
                <w:szCs w:val="22"/>
              </w:rPr>
            </w:pPr>
            <w:r w:rsidRPr="008565EC">
              <w:rPr>
                <w:rStyle w:val="normaltextrun"/>
                <w:rFonts w:asciiTheme="minorHAnsi" w:hAnsiTheme="minorHAnsi" w:cstheme="minorHAnsi"/>
                <w:sz w:val="22"/>
                <w:szCs w:val="22"/>
              </w:rPr>
              <w:t>Aiysha Rooaf</w:t>
            </w:r>
          </w:p>
          <w:p w14:paraId="51388BCA" w14:textId="219865B5" w:rsidR="001D5A9B" w:rsidRPr="008565EC" w:rsidRDefault="001D5A9B" w:rsidP="001D5A9B">
            <w:pPr>
              <w:pStyle w:val="paragraph"/>
              <w:spacing w:before="0" w:beforeAutospacing="0" w:after="0" w:afterAutospacing="0"/>
              <w:textAlignment w:val="baseline"/>
              <w:rPr>
                <w:rFonts w:asciiTheme="minorHAnsi" w:hAnsiTheme="minorHAnsi" w:cstheme="minorHAnsi"/>
                <w:sz w:val="22"/>
                <w:szCs w:val="22"/>
              </w:rPr>
            </w:pPr>
            <w:r w:rsidRPr="008565EC">
              <w:rPr>
                <w:rStyle w:val="normaltextrun"/>
                <w:rFonts w:asciiTheme="minorHAnsi" w:hAnsiTheme="minorHAnsi" w:cstheme="minorHAnsi"/>
                <w:sz w:val="22"/>
                <w:szCs w:val="22"/>
              </w:rPr>
              <w:t>Anne Thomson </w:t>
            </w:r>
            <w:r w:rsidRPr="008565EC">
              <w:rPr>
                <w:rStyle w:val="eop"/>
                <w:rFonts w:asciiTheme="minorHAnsi" w:hAnsiTheme="minorHAnsi" w:cstheme="minorHAnsi"/>
                <w:sz w:val="22"/>
                <w:szCs w:val="22"/>
              </w:rPr>
              <w:t> </w:t>
            </w:r>
          </w:p>
          <w:p w14:paraId="0157ADD0" w14:textId="77777777" w:rsidR="001D5A9B" w:rsidRPr="008565EC" w:rsidRDefault="001D5A9B" w:rsidP="001D5A9B">
            <w:pPr>
              <w:pStyle w:val="paragraph"/>
              <w:spacing w:before="0" w:beforeAutospacing="0" w:after="0" w:afterAutospacing="0"/>
              <w:textAlignment w:val="baseline"/>
              <w:rPr>
                <w:rStyle w:val="eop"/>
                <w:rFonts w:asciiTheme="minorHAnsi" w:hAnsiTheme="minorHAnsi" w:cstheme="minorHAnsi"/>
                <w:sz w:val="22"/>
                <w:szCs w:val="22"/>
              </w:rPr>
            </w:pPr>
            <w:r w:rsidRPr="008565EC">
              <w:rPr>
                <w:rStyle w:val="normaltextrun"/>
                <w:rFonts w:asciiTheme="minorHAnsi" w:hAnsiTheme="minorHAnsi" w:cstheme="minorHAnsi"/>
                <w:sz w:val="22"/>
                <w:szCs w:val="22"/>
              </w:rPr>
              <w:t>Clair Huckerby </w:t>
            </w:r>
            <w:r w:rsidRPr="008565EC">
              <w:rPr>
                <w:rStyle w:val="eop"/>
                <w:rFonts w:asciiTheme="minorHAnsi" w:hAnsiTheme="minorHAnsi" w:cstheme="minorHAnsi"/>
                <w:sz w:val="22"/>
                <w:szCs w:val="22"/>
              </w:rPr>
              <w:t> </w:t>
            </w:r>
          </w:p>
          <w:p w14:paraId="6530C639" w14:textId="0ECF5EE5" w:rsidR="00B95489" w:rsidRPr="00B95489" w:rsidRDefault="00B95489" w:rsidP="001D5A9B">
            <w:pPr>
              <w:pStyle w:val="paragraph"/>
              <w:spacing w:before="0" w:beforeAutospacing="0" w:after="0" w:afterAutospacing="0"/>
              <w:textAlignment w:val="baseline"/>
              <w:rPr>
                <w:rFonts w:asciiTheme="minorHAnsi" w:hAnsiTheme="minorHAnsi" w:cstheme="minorHAnsi"/>
                <w:sz w:val="22"/>
                <w:szCs w:val="22"/>
              </w:rPr>
            </w:pPr>
            <w:r w:rsidRPr="00B95489">
              <w:rPr>
                <w:rFonts w:asciiTheme="minorHAnsi" w:hAnsiTheme="minorHAnsi" w:cstheme="minorHAnsi"/>
                <w:sz w:val="22"/>
                <w:szCs w:val="22"/>
              </w:rPr>
              <w:t>Emily Bond</w:t>
            </w:r>
          </w:p>
          <w:p w14:paraId="69B6B698" w14:textId="0C2925CE" w:rsidR="001D5A9B" w:rsidRPr="00B95489" w:rsidRDefault="001D5A9B" w:rsidP="001D5A9B">
            <w:pPr>
              <w:pStyle w:val="paragraph"/>
              <w:spacing w:before="0" w:beforeAutospacing="0" w:after="0" w:afterAutospacing="0"/>
              <w:textAlignment w:val="baseline"/>
              <w:rPr>
                <w:rStyle w:val="eop"/>
                <w:rFonts w:asciiTheme="minorHAnsi" w:hAnsiTheme="minorHAnsi" w:cstheme="minorHAnsi"/>
                <w:sz w:val="22"/>
                <w:szCs w:val="22"/>
              </w:rPr>
            </w:pPr>
            <w:r w:rsidRPr="00B95489">
              <w:rPr>
                <w:rStyle w:val="normaltextrun"/>
                <w:rFonts w:asciiTheme="minorHAnsi" w:hAnsiTheme="minorHAnsi" w:cstheme="minorHAnsi"/>
                <w:sz w:val="22"/>
                <w:szCs w:val="22"/>
              </w:rPr>
              <w:t>Graham Stretch </w:t>
            </w:r>
            <w:r w:rsidRPr="00B95489">
              <w:rPr>
                <w:rStyle w:val="eop"/>
                <w:rFonts w:asciiTheme="minorHAnsi" w:hAnsiTheme="minorHAnsi" w:cstheme="minorHAnsi"/>
                <w:sz w:val="22"/>
                <w:szCs w:val="22"/>
              </w:rPr>
              <w:t>  </w:t>
            </w:r>
          </w:p>
          <w:p w14:paraId="15EC1153" w14:textId="77777777" w:rsidR="00B95489" w:rsidRDefault="00B95489" w:rsidP="00B95489">
            <w:pPr>
              <w:pStyle w:val="paragraph"/>
              <w:spacing w:before="0" w:beforeAutospacing="0" w:after="0" w:afterAutospacing="0"/>
              <w:textAlignment w:val="baseline"/>
              <w:rPr>
                <w:rStyle w:val="eop"/>
                <w:rFonts w:asciiTheme="minorHAnsi" w:hAnsiTheme="minorHAnsi" w:cstheme="minorHAnsi"/>
                <w:sz w:val="22"/>
                <w:szCs w:val="22"/>
              </w:rPr>
            </w:pPr>
            <w:r w:rsidRPr="00B95489">
              <w:rPr>
                <w:rStyle w:val="normaltextrun"/>
                <w:rFonts w:asciiTheme="minorHAnsi" w:hAnsiTheme="minorHAnsi" w:cstheme="minorHAnsi"/>
                <w:sz w:val="22"/>
                <w:szCs w:val="22"/>
              </w:rPr>
              <w:t>Hadeel Mohamed </w:t>
            </w:r>
            <w:r w:rsidRPr="00B95489">
              <w:rPr>
                <w:rStyle w:val="eop"/>
                <w:rFonts w:asciiTheme="minorHAnsi" w:hAnsiTheme="minorHAnsi" w:cstheme="minorHAnsi"/>
                <w:sz w:val="22"/>
                <w:szCs w:val="22"/>
              </w:rPr>
              <w:t> </w:t>
            </w:r>
          </w:p>
          <w:p w14:paraId="6F372691" w14:textId="127CDAF3" w:rsidR="00B95489" w:rsidRDefault="00B95489" w:rsidP="00B95489">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Helen Kilminster</w:t>
            </w:r>
          </w:p>
          <w:p w14:paraId="29AA1DF9" w14:textId="77777777" w:rsidR="00B95489" w:rsidRDefault="00B95489" w:rsidP="00B95489">
            <w:pPr>
              <w:pStyle w:val="paragraph"/>
              <w:spacing w:before="0" w:beforeAutospacing="0" w:after="0" w:afterAutospacing="0"/>
              <w:textAlignment w:val="baseline"/>
              <w:rPr>
                <w:rStyle w:val="eop"/>
                <w:rFonts w:ascii="Calibri" w:hAnsi="Calibri" w:cs="Calibri"/>
                <w:sz w:val="22"/>
                <w:szCs w:val="22"/>
              </w:rPr>
            </w:pPr>
            <w:r w:rsidRPr="0096125E">
              <w:rPr>
                <w:rStyle w:val="eop"/>
                <w:rFonts w:ascii="Calibri" w:hAnsi="Calibri" w:cs="Calibri"/>
                <w:sz w:val="22"/>
                <w:szCs w:val="22"/>
              </w:rPr>
              <w:t>Jane Hall</w:t>
            </w:r>
          </w:p>
          <w:p w14:paraId="007046DE" w14:textId="77777777" w:rsidR="00206BEA" w:rsidRPr="008565EC" w:rsidRDefault="00206BEA" w:rsidP="00206BEA">
            <w:pPr>
              <w:pStyle w:val="paragraph"/>
              <w:spacing w:before="0" w:beforeAutospacing="0" w:after="0" w:afterAutospacing="0"/>
              <w:textAlignment w:val="baseline"/>
              <w:rPr>
                <w:rStyle w:val="normaltextrun"/>
                <w:rFonts w:asciiTheme="minorHAnsi" w:hAnsiTheme="minorHAnsi" w:cstheme="minorHAnsi"/>
                <w:sz w:val="22"/>
                <w:szCs w:val="22"/>
              </w:rPr>
            </w:pPr>
            <w:r w:rsidRPr="008565EC">
              <w:rPr>
                <w:rStyle w:val="normaltextrun"/>
                <w:rFonts w:asciiTheme="minorHAnsi" w:hAnsiTheme="minorHAnsi" w:cstheme="minorHAnsi"/>
                <w:sz w:val="22"/>
                <w:szCs w:val="22"/>
              </w:rPr>
              <w:t>Jennifer McCutcheon</w:t>
            </w:r>
          </w:p>
          <w:p w14:paraId="66AE2AB3" w14:textId="77777777" w:rsidR="008565EC" w:rsidRPr="00B95489" w:rsidRDefault="008565EC" w:rsidP="008565EC">
            <w:pPr>
              <w:pStyle w:val="paragraph"/>
              <w:spacing w:before="0" w:beforeAutospacing="0" w:after="0" w:afterAutospacing="0"/>
              <w:textAlignment w:val="baseline"/>
              <w:rPr>
                <w:rFonts w:asciiTheme="minorHAnsi" w:hAnsiTheme="minorHAnsi" w:cstheme="minorHAnsi"/>
                <w:sz w:val="22"/>
                <w:szCs w:val="22"/>
              </w:rPr>
            </w:pPr>
            <w:r w:rsidRPr="00B95489">
              <w:rPr>
                <w:rStyle w:val="normaltextrun"/>
                <w:rFonts w:asciiTheme="minorHAnsi" w:hAnsiTheme="minorHAnsi" w:cstheme="minorHAnsi"/>
                <w:sz w:val="22"/>
                <w:szCs w:val="22"/>
              </w:rPr>
              <w:t>Kamaljit Takhar  </w:t>
            </w:r>
            <w:r w:rsidRPr="00B95489">
              <w:rPr>
                <w:rStyle w:val="eop"/>
                <w:rFonts w:asciiTheme="minorHAnsi" w:hAnsiTheme="minorHAnsi" w:cstheme="minorHAnsi"/>
                <w:sz w:val="22"/>
                <w:szCs w:val="22"/>
              </w:rPr>
              <w:t> </w:t>
            </w:r>
          </w:p>
          <w:p w14:paraId="17605BCB" w14:textId="15A8F130" w:rsidR="008565EC" w:rsidRPr="0096125E" w:rsidRDefault="008565EC" w:rsidP="00B95489">
            <w:pPr>
              <w:pStyle w:val="paragraph"/>
              <w:spacing w:before="0" w:beforeAutospacing="0" w:after="0" w:afterAutospacing="0"/>
              <w:textAlignment w:val="baseline"/>
              <w:rPr>
                <w:rFonts w:ascii="Segoe UI" w:hAnsi="Segoe UI" w:cs="Segoe UI"/>
                <w:sz w:val="22"/>
                <w:szCs w:val="22"/>
              </w:rPr>
            </w:pPr>
            <w:r w:rsidRPr="00B95489">
              <w:rPr>
                <w:rStyle w:val="normaltextrun"/>
                <w:rFonts w:asciiTheme="minorHAnsi" w:hAnsiTheme="minorHAnsi" w:cstheme="minorHAnsi"/>
                <w:sz w:val="22"/>
                <w:szCs w:val="22"/>
              </w:rPr>
              <w:t>Rosemary Furner</w:t>
            </w:r>
            <w:r w:rsidRPr="00B95489">
              <w:rPr>
                <w:rStyle w:val="eop"/>
                <w:rFonts w:asciiTheme="minorHAnsi" w:hAnsiTheme="minorHAnsi" w:cstheme="minorHAnsi"/>
                <w:sz w:val="22"/>
                <w:szCs w:val="22"/>
              </w:rPr>
              <w:t> </w:t>
            </w:r>
          </w:p>
          <w:p w14:paraId="0A8E735B" w14:textId="77777777" w:rsidR="00B95489" w:rsidRDefault="00B95489" w:rsidP="001D5A9B">
            <w:pPr>
              <w:pStyle w:val="paragraph"/>
              <w:spacing w:before="0" w:beforeAutospacing="0" w:after="0" w:afterAutospacing="0"/>
              <w:textAlignment w:val="baseline"/>
              <w:rPr>
                <w:rFonts w:ascii="Segoe UI" w:hAnsi="Segoe UI" w:cs="Segoe UI"/>
                <w:sz w:val="18"/>
                <w:szCs w:val="18"/>
              </w:rPr>
            </w:pPr>
          </w:p>
          <w:p w14:paraId="2187CE1F" w14:textId="77777777" w:rsidR="001D5A9B" w:rsidRDefault="001D5A9B" w:rsidP="001D5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Apologies</w:t>
            </w:r>
            <w:r>
              <w:rPr>
                <w:rStyle w:val="eop"/>
                <w:rFonts w:ascii="Calibri" w:hAnsi="Calibri" w:cs="Calibri"/>
                <w:sz w:val="22"/>
                <w:szCs w:val="22"/>
              </w:rPr>
              <w:t> </w:t>
            </w:r>
          </w:p>
          <w:p w14:paraId="72D58CED" w14:textId="723F2689" w:rsidR="00A66170" w:rsidRDefault="00A66170" w:rsidP="0069414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Danny Bartlett (EPB)</w:t>
            </w:r>
          </w:p>
          <w:p w14:paraId="3F531168" w14:textId="5B7A0318" w:rsidR="0069414A" w:rsidRDefault="0069414A" w:rsidP="0069414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Lucy Ann Higgins</w:t>
            </w:r>
          </w:p>
          <w:p w14:paraId="785E7D83" w14:textId="1B73FFC9" w:rsidR="008565EC" w:rsidRDefault="008565EC" w:rsidP="0069414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Richard Shearer (SPB)</w:t>
            </w:r>
          </w:p>
          <w:p w14:paraId="7C928808" w14:textId="508CF154" w:rsidR="001D5A9B" w:rsidRDefault="001D5A9B" w:rsidP="001D5A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C7992DE" w14:textId="77777777" w:rsidR="001D5A9B" w:rsidRDefault="001D5A9B" w:rsidP="001D5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Non-attendance</w:t>
            </w:r>
            <w:r>
              <w:rPr>
                <w:rStyle w:val="eop"/>
                <w:rFonts w:ascii="Calibri" w:hAnsi="Calibri" w:cs="Calibri"/>
                <w:sz w:val="22"/>
                <w:szCs w:val="22"/>
              </w:rPr>
              <w:t> </w:t>
            </w:r>
          </w:p>
          <w:p w14:paraId="114B16BD" w14:textId="77777777" w:rsidR="001D5A9B" w:rsidRPr="008565EC" w:rsidRDefault="001D5A9B" w:rsidP="001D5A9B">
            <w:pPr>
              <w:pStyle w:val="paragraph"/>
              <w:spacing w:before="0" w:beforeAutospacing="0" w:after="0" w:afterAutospacing="0"/>
              <w:textAlignment w:val="baseline"/>
              <w:rPr>
                <w:rStyle w:val="eop"/>
                <w:rFonts w:ascii="Calibri" w:hAnsi="Calibri" w:cs="Calibri"/>
                <w:sz w:val="22"/>
                <w:szCs w:val="22"/>
              </w:rPr>
            </w:pPr>
            <w:r w:rsidRPr="008565EC">
              <w:rPr>
                <w:rStyle w:val="normaltextrun"/>
                <w:rFonts w:ascii="Calibri" w:hAnsi="Calibri" w:cs="Calibri"/>
                <w:sz w:val="22"/>
                <w:szCs w:val="22"/>
              </w:rPr>
              <w:t>Jalek Shukla</w:t>
            </w:r>
            <w:r w:rsidRPr="008565EC">
              <w:rPr>
                <w:rStyle w:val="eop"/>
                <w:rFonts w:ascii="Calibri" w:hAnsi="Calibri" w:cs="Calibri"/>
                <w:sz w:val="22"/>
                <w:szCs w:val="22"/>
              </w:rPr>
              <w:t> </w:t>
            </w:r>
          </w:p>
          <w:p w14:paraId="0B7050BF" w14:textId="42845779" w:rsidR="008565EC" w:rsidRPr="008565EC" w:rsidRDefault="008565EC" w:rsidP="001D5A9B">
            <w:pPr>
              <w:pStyle w:val="paragraph"/>
              <w:spacing w:before="0" w:beforeAutospacing="0" w:after="0" w:afterAutospacing="0"/>
              <w:textAlignment w:val="baseline"/>
              <w:rPr>
                <w:rStyle w:val="normaltextrun"/>
                <w:rFonts w:asciiTheme="minorHAnsi" w:hAnsiTheme="minorHAnsi" w:cstheme="minorHAnsi"/>
                <w:sz w:val="22"/>
                <w:szCs w:val="22"/>
              </w:rPr>
            </w:pPr>
            <w:r w:rsidRPr="008565EC">
              <w:rPr>
                <w:rStyle w:val="normaltextrun"/>
                <w:rFonts w:asciiTheme="minorHAnsi" w:hAnsiTheme="minorHAnsi" w:cstheme="minorHAnsi"/>
                <w:sz w:val="22"/>
                <w:szCs w:val="22"/>
              </w:rPr>
              <w:t>Jodie White</w:t>
            </w:r>
          </w:p>
          <w:p w14:paraId="6BE4D258" w14:textId="05030B95" w:rsidR="008565EC" w:rsidRPr="008565EC" w:rsidRDefault="008565EC" w:rsidP="001D5A9B">
            <w:pPr>
              <w:pStyle w:val="paragraph"/>
              <w:spacing w:before="0" w:beforeAutospacing="0" w:after="0" w:afterAutospacing="0"/>
              <w:textAlignment w:val="baseline"/>
              <w:rPr>
                <w:rFonts w:ascii="Segoe UI" w:hAnsi="Segoe UI" w:cs="Segoe UI"/>
                <w:sz w:val="22"/>
                <w:szCs w:val="22"/>
              </w:rPr>
            </w:pPr>
            <w:r w:rsidRPr="008565EC">
              <w:rPr>
                <w:rStyle w:val="normaltextrun"/>
                <w:rFonts w:asciiTheme="minorHAnsi" w:hAnsiTheme="minorHAnsi" w:cstheme="minorHAnsi"/>
                <w:sz w:val="22"/>
                <w:szCs w:val="22"/>
              </w:rPr>
              <w:t>Kemi Gibson</w:t>
            </w:r>
            <w:r w:rsidRPr="008565EC">
              <w:rPr>
                <w:rStyle w:val="eop"/>
                <w:rFonts w:asciiTheme="minorHAnsi" w:hAnsiTheme="minorHAnsi" w:cstheme="minorHAnsi"/>
                <w:sz w:val="22"/>
                <w:szCs w:val="22"/>
              </w:rPr>
              <w:t> </w:t>
            </w:r>
          </w:p>
          <w:p w14:paraId="08B3FA2D" w14:textId="77777777" w:rsidR="001D5A9B" w:rsidRPr="008565EC" w:rsidRDefault="001D5A9B" w:rsidP="001D5A9B">
            <w:pPr>
              <w:pStyle w:val="paragraph"/>
              <w:spacing w:before="0" w:beforeAutospacing="0" w:after="0" w:afterAutospacing="0"/>
              <w:textAlignment w:val="baseline"/>
              <w:rPr>
                <w:rStyle w:val="eop"/>
                <w:rFonts w:ascii="Calibri" w:hAnsi="Calibri" w:cs="Calibri"/>
                <w:sz w:val="22"/>
                <w:szCs w:val="22"/>
              </w:rPr>
            </w:pPr>
            <w:r w:rsidRPr="008565EC">
              <w:rPr>
                <w:rStyle w:val="normaltextrun"/>
                <w:rFonts w:ascii="Calibri" w:hAnsi="Calibri" w:cs="Calibri"/>
                <w:sz w:val="22"/>
                <w:szCs w:val="22"/>
              </w:rPr>
              <w:t>Raj Bajwa</w:t>
            </w:r>
            <w:r w:rsidRPr="008565EC">
              <w:rPr>
                <w:rStyle w:val="eop"/>
                <w:rFonts w:ascii="Calibri" w:hAnsi="Calibri" w:cs="Calibri"/>
                <w:sz w:val="22"/>
                <w:szCs w:val="22"/>
              </w:rPr>
              <w:t> </w:t>
            </w:r>
          </w:p>
          <w:p w14:paraId="0A8A15AD" w14:textId="4C288B26" w:rsidR="008565EC" w:rsidRPr="00B95489" w:rsidRDefault="008565EC" w:rsidP="008565EC">
            <w:pPr>
              <w:pStyle w:val="paragraph"/>
              <w:spacing w:before="0" w:beforeAutospacing="0" w:after="0" w:afterAutospacing="0"/>
              <w:textAlignment w:val="baseline"/>
              <w:rPr>
                <w:rFonts w:asciiTheme="minorHAnsi" w:hAnsiTheme="minorHAnsi" w:cstheme="minorHAnsi"/>
                <w:sz w:val="22"/>
                <w:szCs w:val="22"/>
              </w:rPr>
            </w:pPr>
            <w:r w:rsidRPr="008565EC">
              <w:rPr>
                <w:rStyle w:val="normaltextrun"/>
                <w:rFonts w:ascii="Calibri" w:hAnsi="Calibri" w:cs="Calibri"/>
                <w:sz w:val="22"/>
                <w:szCs w:val="22"/>
              </w:rPr>
              <w:t>Shasta Parveen</w:t>
            </w:r>
            <w:r>
              <w:rPr>
                <w:rStyle w:val="normaltextrun"/>
                <w:rFonts w:ascii="Calibri" w:hAnsi="Calibri" w:cs="Calibri"/>
                <w:sz w:val="22"/>
                <w:szCs w:val="22"/>
              </w:rPr>
              <w:t xml:space="preserve"> Chimhau </w:t>
            </w:r>
            <w:r>
              <w:rPr>
                <w:rStyle w:val="eop"/>
                <w:rFonts w:ascii="Calibri" w:hAnsi="Calibri" w:cs="Calibri"/>
                <w:sz w:val="22"/>
                <w:szCs w:val="22"/>
              </w:rPr>
              <w:t> </w:t>
            </w:r>
          </w:p>
          <w:p w14:paraId="7B913595" w14:textId="77777777" w:rsidR="001D5A9B" w:rsidRDefault="001D5A9B" w:rsidP="001D5A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C19FE6" w14:textId="77777777" w:rsidR="001D5A9B" w:rsidRDefault="001D5A9B" w:rsidP="001D5A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Speakers</w:t>
            </w:r>
            <w:r>
              <w:rPr>
                <w:rStyle w:val="eop"/>
                <w:rFonts w:ascii="Calibri" w:hAnsi="Calibri" w:cs="Calibri"/>
                <w:sz w:val="22"/>
                <w:szCs w:val="22"/>
              </w:rPr>
              <w:t> </w:t>
            </w:r>
          </w:p>
          <w:p w14:paraId="6BDD878A" w14:textId="77777777" w:rsidR="008565EC" w:rsidRPr="0096125E" w:rsidRDefault="008565EC" w:rsidP="008565EC">
            <w:pPr>
              <w:pStyle w:val="paragraph"/>
              <w:spacing w:before="0" w:beforeAutospacing="0" w:after="0" w:afterAutospacing="0"/>
              <w:textAlignment w:val="baseline"/>
              <w:rPr>
                <w:rFonts w:ascii="Segoe UI" w:hAnsi="Segoe UI" w:cs="Segoe UI"/>
                <w:sz w:val="22"/>
                <w:szCs w:val="22"/>
              </w:rPr>
            </w:pPr>
            <w:r w:rsidRPr="0096125E">
              <w:rPr>
                <w:rStyle w:val="normaltextrun"/>
                <w:rFonts w:ascii="Calibri" w:hAnsi="Calibri" w:cs="Calibri"/>
                <w:sz w:val="22"/>
                <w:szCs w:val="22"/>
              </w:rPr>
              <w:t>Heidi Wright (RPS)</w:t>
            </w:r>
            <w:r w:rsidRPr="0096125E">
              <w:rPr>
                <w:rStyle w:val="eop"/>
                <w:rFonts w:ascii="Calibri" w:hAnsi="Calibri" w:cs="Calibri"/>
                <w:sz w:val="22"/>
                <w:szCs w:val="22"/>
              </w:rPr>
              <w:t> </w:t>
            </w:r>
          </w:p>
          <w:p w14:paraId="5BC5B3DC" w14:textId="739649AD" w:rsidR="001D5A9B" w:rsidRPr="0096125E" w:rsidRDefault="001D5A9B" w:rsidP="001D5A9B">
            <w:pPr>
              <w:pStyle w:val="paragraph"/>
              <w:spacing w:before="0" w:beforeAutospacing="0" w:after="0" w:afterAutospacing="0"/>
              <w:textAlignment w:val="baseline"/>
              <w:rPr>
                <w:rStyle w:val="normaltextrun"/>
                <w:rFonts w:ascii="Calibri" w:hAnsi="Calibri" w:cs="Calibri"/>
                <w:sz w:val="22"/>
                <w:szCs w:val="22"/>
              </w:rPr>
            </w:pPr>
            <w:r w:rsidRPr="0096125E">
              <w:rPr>
                <w:rStyle w:val="normaltextrun"/>
                <w:rFonts w:ascii="Calibri" w:hAnsi="Calibri" w:cs="Calibri"/>
                <w:sz w:val="22"/>
                <w:szCs w:val="22"/>
              </w:rPr>
              <w:t>Patsy Edwards (RPS)</w:t>
            </w:r>
          </w:p>
          <w:p w14:paraId="7B1FFD50" w14:textId="36C26C68" w:rsidR="001D5A9B" w:rsidRDefault="001D5A9B" w:rsidP="001D5A9B">
            <w:pPr>
              <w:pStyle w:val="paragraph"/>
              <w:spacing w:before="0" w:beforeAutospacing="0" w:after="0" w:afterAutospacing="0"/>
              <w:textAlignment w:val="baseline"/>
              <w:rPr>
                <w:rStyle w:val="eop"/>
                <w:rFonts w:ascii="Calibri" w:hAnsi="Calibri" w:cs="Calibri"/>
                <w:sz w:val="22"/>
                <w:szCs w:val="22"/>
              </w:rPr>
            </w:pPr>
            <w:r w:rsidRPr="0096125E">
              <w:rPr>
                <w:rStyle w:val="normaltextrun"/>
                <w:rFonts w:ascii="Calibri" w:hAnsi="Calibri" w:cs="Calibri"/>
                <w:sz w:val="22"/>
                <w:szCs w:val="22"/>
              </w:rPr>
              <w:t>Wing Tang (RPS)</w:t>
            </w:r>
            <w:r w:rsidRPr="0096125E">
              <w:rPr>
                <w:rStyle w:val="eop"/>
                <w:rFonts w:ascii="Calibri" w:hAnsi="Calibri" w:cs="Calibri"/>
                <w:sz w:val="22"/>
                <w:szCs w:val="22"/>
              </w:rPr>
              <w:t> </w:t>
            </w:r>
          </w:p>
          <w:p w14:paraId="3389355B" w14:textId="77777777" w:rsidR="001420DD" w:rsidRPr="0096125E" w:rsidRDefault="001420DD" w:rsidP="001D5A9B">
            <w:pPr>
              <w:pStyle w:val="paragraph"/>
              <w:spacing w:before="0" w:beforeAutospacing="0" w:after="0" w:afterAutospacing="0"/>
              <w:textAlignment w:val="baseline"/>
              <w:rPr>
                <w:rFonts w:ascii="Segoe UI" w:hAnsi="Segoe UI" w:cs="Segoe UI"/>
                <w:sz w:val="22"/>
                <w:szCs w:val="22"/>
              </w:rPr>
            </w:pPr>
          </w:p>
          <w:p w14:paraId="03CC1714" w14:textId="4AFB0FAF" w:rsidR="00935142" w:rsidRDefault="001D5A9B" w:rsidP="0093514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Observers</w:t>
            </w:r>
            <w:r>
              <w:rPr>
                <w:rStyle w:val="eop"/>
                <w:rFonts w:ascii="Calibri" w:hAnsi="Calibri" w:cs="Calibri"/>
                <w:sz w:val="22"/>
                <w:szCs w:val="22"/>
              </w:rPr>
              <w:t> </w:t>
            </w:r>
          </w:p>
          <w:p w14:paraId="60425231" w14:textId="764E548D" w:rsidR="00B95489" w:rsidRDefault="00935142" w:rsidP="00935142">
            <w:pPr>
              <w:pStyle w:val="paragraph"/>
              <w:spacing w:before="0" w:beforeAutospacing="0" w:after="0" w:afterAutospacing="0"/>
              <w:textAlignment w:val="baseline"/>
              <w:rPr>
                <w:rFonts w:asciiTheme="minorHAnsi" w:hAnsiTheme="minorHAnsi" w:cstheme="minorHAnsi"/>
                <w:sz w:val="22"/>
                <w:szCs w:val="22"/>
              </w:rPr>
            </w:pPr>
            <w:r w:rsidRPr="00935142">
              <w:rPr>
                <w:rFonts w:asciiTheme="minorHAnsi" w:hAnsiTheme="minorHAnsi" w:cstheme="minorHAnsi"/>
                <w:sz w:val="22"/>
                <w:szCs w:val="22"/>
              </w:rPr>
              <w:t>Deborah Adedoye</w:t>
            </w:r>
          </w:p>
          <w:p w14:paraId="6846B6DD" w14:textId="77777777" w:rsidR="00206BEA" w:rsidRPr="00206BEA" w:rsidRDefault="00206BEA" w:rsidP="00935142">
            <w:pPr>
              <w:pStyle w:val="paragraph"/>
              <w:spacing w:before="0" w:beforeAutospacing="0" w:after="0" w:afterAutospacing="0"/>
              <w:textAlignment w:val="baseline"/>
              <w:rPr>
                <w:rFonts w:asciiTheme="minorHAnsi" w:hAnsiTheme="minorHAnsi" w:cstheme="minorHAnsi"/>
                <w:sz w:val="22"/>
                <w:szCs w:val="22"/>
              </w:rPr>
            </w:pPr>
          </w:p>
          <w:p w14:paraId="20E63DE8" w14:textId="360E93BE" w:rsidR="00B95489" w:rsidRPr="000C7A2D" w:rsidRDefault="00206BEA" w:rsidP="00935142">
            <w:pPr>
              <w:pStyle w:val="paragraph"/>
              <w:spacing w:before="0" w:beforeAutospacing="0" w:after="0" w:afterAutospacing="0"/>
              <w:textAlignment w:val="baseline"/>
            </w:pPr>
            <w:r w:rsidRPr="00206BEA">
              <w:rPr>
                <w:rFonts w:asciiTheme="minorHAnsi" w:hAnsiTheme="minorHAnsi" w:cstheme="minorHAnsi"/>
                <w:sz w:val="22"/>
                <w:szCs w:val="22"/>
              </w:rPr>
              <w:t>The group members paid their r</w:t>
            </w:r>
            <w:r w:rsidR="00B95489" w:rsidRPr="00206BEA">
              <w:rPr>
                <w:rFonts w:asciiTheme="minorHAnsi" w:hAnsiTheme="minorHAnsi" w:cstheme="minorHAnsi"/>
                <w:sz w:val="22"/>
                <w:szCs w:val="22"/>
              </w:rPr>
              <w:t>espect to Nina</w:t>
            </w:r>
            <w:r w:rsidRPr="00206BEA">
              <w:rPr>
                <w:rFonts w:asciiTheme="minorHAnsi" w:hAnsiTheme="minorHAnsi" w:cstheme="minorHAnsi"/>
                <w:sz w:val="22"/>
                <w:szCs w:val="22"/>
              </w:rPr>
              <w:t xml:space="preserve"> Barnett and recognised all the amazing work she had been involved in during her pharmacy career</w:t>
            </w:r>
          </w:p>
        </w:tc>
      </w:tr>
    </w:tbl>
    <w:p w14:paraId="2F40DAE3" w14:textId="57A3CF14" w:rsidR="00CA621E" w:rsidRDefault="00CA621E" w:rsidP="004130F1">
      <w:pPr>
        <w:spacing w:after="0"/>
      </w:pPr>
    </w:p>
    <w:p w14:paraId="7EA6895E" w14:textId="70B22019" w:rsidR="00355A75" w:rsidRDefault="00355A75" w:rsidP="00355A75">
      <w:pPr>
        <w:pStyle w:val="Heading2"/>
        <w:shd w:val="clear" w:color="auto" w:fill="DEEAF6" w:themeFill="accent5" w:themeFillTint="33"/>
        <w:rPr>
          <w:b/>
          <w:bCs/>
          <w:color w:val="000000" w:themeColor="text1"/>
          <w:lang w:val="fr-FR"/>
        </w:rPr>
      </w:pPr>
      <w:proofErr w:type="gramStart"/>
      <w:r>
        <w:rPr>
          <w:b/>
          <w:bCs/>
          <w:color w:val="000000" w:themeColor="text1"/>
          <w:lang w:val="fr-FR"/>
        </w:rPr>
        <w:lastRenderedPageBreak/>
        <w:t>2</w:t>
      </w:r>
      <w:r w:rsidRPr="7B5E0B07">
        <w:rPr>
          <w:b/>
          <w:bCs/>
          <w:color w:val="000000" w:themeColor="text1"/>
          <w:lang w:val="fr-FR"/>
        </w:rPr>
        <w:t>:</w:t>
      </w:r>
      <w:proofErr w:type="gramEnd"/>
      <w:r w:rsidRPr="7B5E0B07">
        <w:rPr>
          <w:b/>
          <w:bCs/>
          <w:color w:val="000000" w:themeColor="text1"/>
          <w:lang w:val="fr-FR"/>
        </w:rPr>
        <w:t xml:space="preserve"> </w:t>
      </w:r>
      <w:r w:rsidR="00D40F08">
        <w:rPr>
          <w:b/>
          <w:bCs/>
          <w:color w:val="000000" w:themeColor="text1"/>
          <w:lang w:val="fr-FR"/>
        </w:rPr>
        <w:t>Credentialling and recognition : The different routes</w:t>
      </w:r>
      <w:r>
        <w:rPr>
          <w:b/>
          <w:bCs/>
          <w:color w:val="000000" w:themeColor="text1"/>
          <w:lang w:val="fr-FR"/>
        </w:rPr>
        <w:t xml:space="preserve"> (</w:t>
      </w:r>
      <w:r w:rsidR="00D40F08">
        <w:rPr>
          <w:b/>
          <w:bCs/>
          <w:color w:val="000000" w:themeColor="text1"/>
          <w:lang w:val="fr-FR"/>
        </w:rPr>
        <w:t>30</w:t>
      </w:r>
      <w:r>
        <w:rPr>
          <w:b/>
          <w:bCs/>
          <w:color w:val="000000" w:themeColor="text1"/>
          <w:lang w:val="fr-FR"/>
        </w:rPr>
        <w:t xml:space="preserve"> mins) – </w:t>
      </w:r>
      <w:r w:rsidR="00D40F08">
        <w:rPr>
          <w:b/>
          <w:bCs/>
          <w:color w:val="000000" w:themeColor="text1"/>
          <w:lang w:val="fr-FR"/>
        </w:rPr>
        <w:t>Patsy Edwards</w:t>
      </w:r>
    </w:p>
    <w:tbl>
      <w:tblPr>
        <w:tblStyle w:val="TableGrid"/>
        <w:tblW w:w="9016" w:type="dxa"/>
        <w:tblLook w:val="04A0" w:firstRow="1" w:lastRow="0" w:firstColumn="1" w:lastColumn="0" w:noHBand="0" w:noVBand="1"/>
      </w:tblPr>
      <w:tblGrid>
        <w:gridCol w:w="1335"/>
        <w:gridCol w:w="7681"/>
      </w:tblGrid>
      <w:tr w:rsidR="00355A75" w14:paraId="26AA39DB" w14:textId="77777777" w:rsidTr="00185577">
        <w:trPr>
          <w:trHeight w:val="1065"/>
        </w:trPr>
        <w:tc>
          <w:tcPr>
            <w:tcW w:w="1335" w:type="dxa"/>
          </w:tcPr>
          <w:p w14:paraId="391F4A33" w14:textId="77777777" w:rsidR="00355A75" w:rsidRDefault="00355A75" w:rsidP="00185577">
            <w:pPr>
              <w:rPr>
                <w:b/>
                <w:bCs/>
              </w:rPr>
            </w:pPr>
            <w:r w:rsidRPr="7B5E0B07">
              <w:rPr>
                <w:b/>
                <w:bCs/>
              </w:rPr>
              <w:t>Descripti</w:t>
            </w:r>
            <w:r>
              <w:rPr>
                <w:b/>
                <w:bCs/>
              </w:rPr>
              <w:t>on</w:t>
            </w:r>
          </w:p>
        </w:tc>
        <w:tc>
          <w:tcPr>
            <w:tcW w:w="7681" w:type="dxa"/>
          </w:tcPr>
          <w:p w14:paraId="006E6876" w14:textId="1413DE00" w:rsidR="00355A75" w:rsidRPr="00EC1F3D" w:rsidRDefault="00D40F08" w:rsidP="00185577">
            <w:pPr>
              <w:rPr>
                <w:rFonts w:cstheme="minorHAnsi"/>
              </w:rPr>
            </w:pPr>
            <w:r>
              <w:rPr>
                <w:rFonts w:cstheme="minorHAnsi"/>
              </w:rPr>
              <w:t>RPS have different pathways for credentialling and recognition including core advanced framework and Faculty. We will explore the options available and discuss what might work best for individuals working in primary care</w:t>
            </w:r>
          </w:p>
        </w:tc>
      </w:tr>
      <w:tr w:rsidR="00355A75" w14:paraId="3B8AE57A" w14:textId="77777777" w:rsidTr="00185577">
        <w:trPr>
          <w:trHeight w:val="638"/>
        </w:trPr>
        <w:tc>
          <w:tcPr>
            <w:tcW w:w="1335" w:type="dxa"/>
          </w:tcPr>
          <w:p w14:paraId="6B7A48DE" w14:textId="77777777" w:rsidR="00355A75" w:rsidRDefault="00355A75" w:rsidP="00185577">
            <w:pPr>
              <w:rPr>
                <w:b/>
                <w:bCs/>
              </w:rPr>
            </w:pPr>
            <w:r w:rsidRPr="7B5E0B07">
              <w:rPr>
                <w:b/>
                <w:bCs/>
              </w:rPr>
              <w:t>Purpose</w:t>
            </w:r>
          </w:p>
        </w:tc>
        <w:tc>
          <w:tcPr>
            <w:tcW w:w="7681" w:type="dxa"/>
          </w:tcPr>
          <w:p w14:paraId="4D4A6ED6" w14:textId="6666625C" w:rsidR="00355A75" w:rsidRDefault="00355A75" w:rsidP="00185577">
            <w:pPr>
              <w:pStyle w:val="ListParagraph"/>
              <w:ind w:left="0"/>
            </w:pPr>
            <w:r>
              <w:t xml:space="preserve">Discuss the </w:t>
            </w:r>
            <w:r w:rsidR="00D40F08">
              <w:t>different routes to credentialling and recognition offered by RPS</w:t>
            </w:r>
          </w:p>
        </w:tc>
      </w:tr>
      <w:tr w:rsidR="00355A75" w14:paraId="156F560F" w14:textId="77777777" w:rsidTr="00185577">
        <w:trPr>
          <w:trHeight w:val="568"/>
        </w:trPr>
        <w:tc>
          <w:tcPr>
            <w:tcW w:w="1335" w:type="dxa"/>
          </w:tcPr>
          <w:p w14:paraId="5A925C13" w14:textId="77777777" w:rsidR="00355A75" w:rsidRDefault="00355A75" w:rsidP="00185577">
            <w:pPr>
              <w:rPr>
                <w:b/>
                <w:bCs/>
              </w:rPr>
            </w:pPr>
            <w:r w:rsidRPr="7B5E0B07">
              <w:rPr>
                <w:b/>
                <w:bCs/>
              </w:rPr>
              <w:t>Outcomes</w:t>
            </w:r>
          </w:p>
        </w:tc>
        <w:tc>
          <w:tcPr>
            <w:tcW w:w="7681" w:type="dxa"/>
          </w:tcPr>
          <w:p w14:paraId="584192AD" w14:textId="50E07AF3" w:rsidR="00355A75" w:rsidRDefault="00B95489" w:rsidP="00185577">
            <w:pPr>
              <w:rPr>
                <w:rFonts w:eastAsia="Calibri"/>
              </w:rPr>
            </w:pPr>
            <w:r>
              <w:rPr>
                <w:rFonts w:ascii="Calibri" w:eastAsia="Calibri" w:hAnsi="Calibri" w:cs="Calibri"/>
              </w:rPr>
              <w:t>P</w:t>
            </w:r>
            <w:r>
              <w:rPr>
                <w:rFonts w:eastAsia="Calibri"/>
              </w:rPr>
              <w:t>atsy Edwards presented slides which were circulated to group members post meeting</w:t>
            </w:r>
            <w:r w:rsidR="00A66170">
              <w:rPr>
                <w:rFonts w:eastAsia="Calibri"/>
              </w:rPr>
              <w:t>. Discussion was had around Faculty and credentialling using the foundation, advanced and consultant frameworks. Issues such as portfolio careers and how individuals can be supported through the process were raised and discussed. Raising awareness via employers and ensuring support in the same way medics are supported were seen as key, as well as clinical and educational supervision. Clarity is needed around the framework and the roadmap to professional and career progression.</w:t>
            </w:r>
            <w:r w:rsidR="008E4C27">
              <w:rPr>
                <w:rFonts w:eastAsia="Calibri"/>
              </w:rPr>
              <w:t xml:space="preserve"> Need to break down barriers and make the process easier and define expectations around the pathway. Also needs to be included more in UG training so that pharmacists expect to progress and advance</w:t>
            </w:r>
            <w:r w:rsidR="001420DD">
              <w:rPr>
                <w:rFonts w:eastAsia="Calibri"/>
              </w:rPr>
              <w:t>, it</w:t>
            </w:r>
            <w:r w:rsidR="00C075F4">
              <w:rPr>
                <w:rFonts w:eastAsia="Calibri"/>
              </w:rPr>
              <w:t xml:space="preserve"> needs to be normalised</w:t>
            </w:r>
            <w:r w:rsidR="008E4C27">
              <w:rPr>
                <w:rFonts w:eastAsia="Calibri"/>
              </w:rPr>
              <w:t>.</w:t>
            </w:r>
            <w:r w:rsidR="00C075F4">
              <w:rPr>
                <w:rFonts w:eastAsia="Calibri"/>
              </w:rPr>
              <w:t xml:space="preserve"> National intent around transforming roles </w:t>
            </w:r>
            <w:r w:rsidR="001420DD">
              <w:rPr>
                <w:rFonts w:eastAsia="Calibri"/>
              </w:rPr>
              <w:t xml:space="preserve">is </w:t>
            </w:r>
            <w:r w:rsidR="00C075F4">
              <w:rPr>
                <w:rFonts w:eastAsia="Calibri"/>
              </w:rPr>
              <w:t>also an issue</w:t>
            </w:r>
            <w:r w:rsidR="001420DD">
              <w:rPr>
                <w:rFonts w:eastAsia="Calibri"/>
              </w:rPr>
              <w:t>, it</w:t>
            </w:r>
            <w:r w:rsidR="00C075F4">
              <w:rPr>
                <w:rFonts w:eastAsia="Calibri"/>
              </w:rPr>
              <w:t>needs a consistent approach to support workforce planning. Consultant roles tend to be seen in secondary / tertiary care and it would be great to have consultant pharmacists in primary care / general practice. Could be controversial as GPS are not consultants.</w:t>
            </w:r>
          </w:p>
          <w:p w14:paraId="2DBD7CBB" w14:textId="77777777" w:rsidR="00C075F4" w:rsidRDefault="00C075F4" w:rsidP="00185577">
            <w:pPr>
              <w:rPr>
                <w:rFonts w:eastAsia="Calibri"/>
              </w:rPr>
            </w:pPr>
          </w:p>
          <w:p w14:paraId="5B1CABDC" w14:textId="06DB4A26" w:rsidR="00C075F4" w:rsidRPr="00E36787" w:rsidRDefault="00C075F4" w:rsidP="00185577">
            <w:pPr>
              <w:rPr>
                <w:rFonts w:eastAsia="Calibri"/>
                <w:b/>
                <w:bCs/>
              </w:rPr>
            </w:pPr>
            <w:r w:rsidRPr="00E36787">
              <w:rPr>
                <w:rFonts w:eastAsia="Calibri"/>
                <w:b/>
                <w:bCs/>
              </w:rPr>
              <w:t>ACTIONS:</w:t>
            </w:r>
          </w:p>
          <w:p w14:paraId="2A0F0145" w14:textId="7B4993DC" w:rsidR="00C075F4" w:rsidRPr="00E36787" w:rsidRDefault="00C075F4" w:rsidP="00C075F4">
            <w:pPr>
              <w:pStyle w:val="ListParagraph"/>
              <w:numPr>
                <w:ilvl w:val="0"/>
                <w:numId w:val="21"/>
              </w:numPr>
              <w:rPr>
                <w:rFonts w:eastAsia="Calibri"/>
                <w:b/>
                <w:bCs/>
                <w:i/>
                <w:iCs/>
              </w:rPr>
            </w:pPr>
            <w:r w:rsidRPr="00E36787">
              <w:rPr>
                <w:rFonts w:eastAsia="Calibri"/>
                <w:b/>
                <w:bCs/>
                <w:i/>
                <w:iCs/>
              </w:rPr>
              <w:t xml:space="preserve">HW to share slides with the </w:t>
            </w:r>
            <w:proofErr w:type="gramStart"/>
            <w:r w:rsidRPr="00E36787">
              <w:rPr>
                <w:rFonts w:eastAsia="Calibri"/>
                <w:b/>
                <w:bCs/>
                <w:i/>
                <w:iCs/>
              </w:rPr>
              <w:t>group</w:t>
            </w:r>
            <w:proofErr w:type="gramEnd"/>
          </w:p>
          <w:p w14:paraId="6F93FD5E" w14:textId="4C4038B0" w:rsidR="00C075F4" w:rsidRPr="00E36787" w:rsidRDefault="00C075F4" w:rsidP="00C075F4">
            <w:pPr>
              <w:pStyle w:val="ListParagraph"/>
              <w:numPr>
                <w:ilvl w:val="0"/>
                <w:numId w:val="21"/>
              </w:numPr>
              <w:rPr>
                <w:rFonts w:eastAsia="Calibri"/>
                <w:b/>
                <w:bCs/>
                <w:i/>
                <w:iCs/>
              </w:rPr>
            </w:pPr>
            <w:r w:rsidRPr="00E36787">
              <w:rPr>
                <w:rFonts w:eastAsia="Calibri"/>
                <w:b/>
                <w:bCs/>
                <w:i/>
                <w:iCs/>
              </w:rPr>
              <w:t xml:space="preserve">All PCPEAG members to raise awareness of frameworks and career progression within their workplaces / </w:t>
            </w:r>
            <w:proofErr w:type="gramStart"/>
            <w:r w:rsidRPr="00E36787">
              <w:rPr>
                <w:rFonts w:eastAsia="Calibri"/>
                <w:b/>
                <w:bCs/>
                <w:i/>
                <w:iCs/>
              </w:rPr>
              <w:t>areas</w:t>
            </w:r>
            <w:proofErr w:type="gramEnd"/>
          </w:p>
          <w:p w14:paraId="3BE32E2D" w14:textId="15CDF87D" w:rsidR="00A66170" w:rsidRDefault="00A66170" w:rsidP="00185577">
            <w:pPr>
              <w:rPr>
                <w:rFonts w:ascii="Calibri" w:eastAsia="Calibri" w:hAnsi="Calibri" w:cs="Calibri"/>
              </w:rPr>
            </w:pPr>
          </w:p>
        </w:tc>
      </w:tr>
    </w:tbl>
    <w:p w14:paraId="5B31DA4B" w14:textId="229054B3" w:rsidR="00355A75" w:rsidRDefault="00355A75" w:rsidP="004130F1">
      <w:pPr>
        <w:spacing w:after="0"/>
      </w:pPr>
    </w:p>
    <w:p w14:paraId="6F100AB2" w14:textId="55C8D0AE" w:rsidR="0072482C" w:rsidRPr="007D1116" w:rsidRDefault="7540FD09" w:rsidP="7540FD09">
      <w:pPr>
        <w:keepNext/>
        <w:keepLines/>
        <w:pBdr>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lang w:val="fr-FR"/>
        </w:rPr>
      </w:pPr>
      <w:proofErr w:type="gramStart"/>
      <w:r w:rsidRPr="7540FD09">
        <w:rPr>
          <w:rFonts w:asciiTheme="majorHAnsi" w:eastAsiaTheme="majorEastAsia" w:hAnsiTheme="majorHAnsi" w:cstheme="majorBidi"/>
          <w:b/>
          <w:bCs/>
          <w:color w:val="000000" w:themeColor="text1"/>
          <w:sz w:val="26"/>
          <w:szCs w:val="26"/>
          <w:lang w:val="fr-FR"/>
        </w:rPr>
        <w:t>3:</w:t>
      </w:r>
      <w:proofErr w:type="gramEnd"/>
      <w:r w:rsidRPr="7540FD09">
        <w:rPr>
          <w:rFonts w:asciiTheme="majorHAnsi" w:eastAsiaTheme="majorEastAsia" w:hAnsiTheme="majorHAnsi" w:cstheme="majorBidi"/>
          <w:b/>
          <w:bCs/>
          <w:color w:val="000000" w:themeColor="text1"/>
          <w:sz w:val="26"/>
          <w:szCs w:val="26"/>
          <w:lang w:val="fr-FR"/>
        </w:rPr>
        <w:t xml:space="preserve">   Independent prescribing (15 mins) – Heidi Wright</w:t>
      </w:r>
    </w:p>
    <w:tbl>
      <w:tblPr>
        <w:tblStyle w:val="TableGrid"/>
        <w:tblW w:w="9016" w:type="dxa"/>
        <w:tblLook w:val="04A0" w:firstRow="1" w:lastRow="0" w:firstColumn="1" w:lastColumn="0" w:noHBand="0" w:noVBand="1"/>
      </w:tblPr>
      <w:tblGrid>
        <w:gridCol w:w="1335"/>
        <w:gridCol w:w="7681"/>
      </w:tblGrid>
      <w:tr w:rsidR="007510AD" w14:paraId="104B6B1A" w14:textId="77777777" w:rsidTr="1CEEC284">
        <w:trPr>
          <w:trHeight w:val="451"/>
        </w:trPr>
        <w:tc>
          <w:tcPr>
            <w:tcW w:w="1335" w:type="dxa"/>
          </w:tcPr>
          <w:p w14:paraId="527ED2A2" w14:textId="1A263DC9" w:rsidR="007510AD" w:rsidRPr="00C90D6E" w:rsidRDefault="007510AD" w:rsidP="00B37E84">
            <w:pPr>
              <w:rPr>
                <w:b/>
                <w:bCs/>
              </w:rPr>
            </w:pPr>
            <w:r>
              <w:rPr>
                <w:b/>
                <w:bCs/>
              </w:rPr>
              <w:t>Description</w:t>
            </w:r>
          </w:p>
        </w:tc>
        <w:tc>
          <w:tcPr>
            <w:tcW w:w="7681" w:type="dxa"/>
          </w:tcPr>
          <w:p w14:paraId="60775E61" w14:textId="77777777" w:rsidR="00854AC4" w:rsidRDefault="00D40F08" w:rsidP="00D40F08">
            <w:r>
              <w:t>To provide an update on the IP offer across RPS with a particular focus on the development of policy</w:t>
            </w:r>
          </w:p>
          <w:p w14:paraId="6663734E" w14:textId="4C0F3B3C" w:rsidR="00D40F08" w:rsidRDefault="00D40F08" w:rsidP="00D40F08"/>
        </w:tc>
      </w:tr>
      <w:tr w:rsidR="0072482C" w14:paraId="3258CCBD" w14:textId="77777777" w:rsidTr="1CEEC284">
        <w:trPr>
          <w:trHeight w:val="608"/>
        </w:trPr>
        <w:tc>
          <w:tcPr>
            <w:tcW w:w="1335" w:type="dxa"/>
          </w:tcPr>
          <w:p w14:paraId="55774161" w14:textId="77777777" w:rsidR="0072482C" w:rsidRPr="00C90D6E" w:rsidRDefault="0072482C" w:rsidP="00B37E84">
            <w:pPr>
              <w:rPr>
                <w:b/>
                <w:bCs/>
              </w:rPr>
            </w:pPr>
            <w:r w:rsidRPr="00C90D6E">
              <w:rPr>
                <w:b/>
                <w:bCs/>
              </w:rPr>
              <w:t>Purpose</w:t>
            </w:r>
          </w:p>
        </w:tc>
        <w:tc>
          <w:tcPr>
            <w:tcW w:w="7681" w:type="dxa"/>
          </w:tcPr>
          <w:p w14:paraId="5C6BE5B9" w14:textId="09242680" w:rsidR="00AB2248" w:rsidRDefault="00854AC4" w:rsidP="00782D7B">
            <w:r>
              <w:t>To get insight and feedback from PCPEAG members on this topic</w:t>
            </w:r>
          </w:p>
        </w:tc>
      </w:tr>
      <w:tr w:rsidR="0072482C" w14:paraId="4F8AC75B" w14:textId="77777777" w:rsidTr="1CEEC284">
        <w:trPr>
          <w:trHeight w:val="528"/>
        </w:trPr>
        <w:tc>
          <w:tcPr>
            <w:tcW w:w="1335" w:type="dxa"/>
          </w:tcPr>
          <w:p w14:paraId="13B34308" w14:textId="77777777" w:rsidR="0072482C" w:rsidRPr="00C90D6E" w:rsidRDefault="0072482C" w:rsidP="00B37E84">
            <w:pPr>
              <w:rPr>
                <w:b/>
                <w:bCs/>
              </w:rPr>
            </w:pPr>
            <w:r>
              <w:rPr>
                <w:b/>
                <w:bCs/>
              </w:rPr>
              <w:t>Outcome</w:t>
            </w:r>
            <w:r w:rsidRPr="00C90D6E">
              <w:rPr>
                <w:b/>
                <w:bCs/>
              </w:rPr>
              <w:t>s</w:t>
            </w:r>
          </w:p>
        </w:tc>
        <w:tc>
          <w:tcPr>
            <w:tcW w:w="7681" w:type="dxa"/>
          </w:tcPr>
          <w:p w14:paraId="383953D7" w14:textId="57B1E9A6" w:rsidR="0072482C" w:rsidRDefault="0099432B" w:rsidP="00B37E84">
            <w:r>
              <w:t>Heidi presented slides which will be shared with the group members after the meeting</w:t>
            </w:r>
            <w:r w:rsidR="001420DD">
              <w:t xml:space="preserve">. RPS </w:t>
            </w:r>
            <w:r w:rsidR="003B1CAC">
              <w:t xml:space="preserve">Guidance to include prescribing and supply / </w:t>
            </w:r>
            <w:r w:rsidR="001420DD">
              <w:t>administration</w:t>
            </w:r>
            <w:r w:rsidR="003B1CAC">
              <w:t xml:space="preserve"> as well as dispensing. Uni of Bradford and Leeds </w:t>
            </w:r>
            <w:r w:rsidR="001420DD">
              <w:t xml:space="preserve">are </w:t>
            </w:r>
            <w:r w:rsidR="003B1CAC">
              <w:t xml:space="preserve">doing research on double </w:t>
            </w:r>
            <w:proofErr w:type="gramStart"/>
            <w:r w:rsidR="003B1CAC">
              <w:t>checking</w:t>
            </w:r>
            <w:proofErr w:type="gramEnd"/>
          </w:p>
          <w:p w14:paraId="0327C03D" w14:textId="77777777" w:rsidR="001420DD" w:rsidRDefault="001420DD" w:rsidP="00B37E84"/>
          <w:p w14:paraId="70AC1293" w14:textId="27068CFF" w:rsidR="0099432B" w:rsidRPr="001420DD" w:rsidRDefault="0099432B" w:rsidP="00B37E84">
            <w:pPr>
              <w:rPr>
                <w:b/>
                <w:bCs/>
              </w:rPr>
            </w:pPr>
            <w:r w:rsidRPr="001420DD">
              <w:rPr>
                <w:b/>
                <w:bCs/>
              </w:rPr>
              <w:t>ACTION</w:t>
            </w:r>
            <w:r w:rsidR="001420DD" w:rsidRPr="001420DD">
              <w:rPr>
                <w:b/>
                <w:bCs/>
              </w:rPr>
              <w:t>S</w:t>
            </w:r>
            <w:r w:rsidRPr="001420DD">
              <w:rPr>
                <w:b/>
                <w:bCs/>
              </w:rPr>
              <w:t>:</w:t>
            </w:r>
          </w:p>
          <w:p w14:paraId="0F1BFE6D" w14:textId="77777777" w:rsidR="0099432B" w:rsidRPr="001420DD" w:rsidRDefault="0099432B" w:rsidP="0099432B">
            <w:pPr>
              <w:pStyle w:val="ListParagraph"/>
              <w:numPr>
                <w:ilvl w:val="0"/>
                <w:numId w:val="22"/>
              </w:numPr>
              <w:rPr>
                <w:b/>
                <w:bCs/>
                <w:i/>
                <w:iCs/>
              </w:rPr>
            </w:pPr>
            <w:r w:rsidRPr="001420DD">
              <w:rPr>
                <w:b/>
                <w:bCs/>
                <w:i/>
                <w:iCs/>
              </w:rPr>
              <w:t>HW to</w:t>
            </w:r>
            <w:r w:rsidR="001420DD" w:rsidRPr="001420DD">
              <w:rPr>
                <w:b/>
                <w:bCs/>
                <w:i/>
                <w:iCs/>
              </w:rPr>
              <w:t xml:space="preserve"> share slides post </w:t>
            </w:r>
            <w:proofErr w:type="gramStart"/>
            <w:r w:rsidR="001420DD" w:rsidRPr="001420DD">
              <w:rPr>
                <w:b/>
                <w:bCs/>
                <w:i/>
                <w:iCs/>
              </w:rPr>
              <w:t>meeting</w:t>
            </w:r>
            <w:proofErr w:type="gramEnd"/>
          </w:p>
          <w:p w14:paraId="5F1F519C" w14:textId="1812457E" w:rsidR="001420DD" w:rsidRPr="00CA621E" w:rsidRDefault="001420DD" w:rsidP="0099432B">
            <w:pPr>
              <w:pStyle w:val="ListParagraph"/>
              <w:numPr>
                <w:ilvl w:val="0"/>
                <w:numId w:val="22"/>
              </w:numPr>
            </w:pPr>
            <w:r w:rsidRPr="001420DD">
              <w:rPr>
                <w:b/>
                <w:bCs/>
                <w:i/>
                <w:iCs/>
              </w:rPr>
              <w:t>HM to share contact details for research</w:t>
            </w:r>
          </w:p>
        </w:tc>
      </w:tr>
    </w:tbl>
    <w:p w14:paraId="721B9708" w14:textId="77777777" w:rsidR="0072482C" w:rsidRDefault="0072482C" w:rsidP="004130F1">
      <w:pPr>
        <w:spacing w:after="0"/>
      </w:pPr>
    </w:p>
    <w:p w14:paraId="19DB8733" w14:textId="0C2593B1" w:rsidR="007913BF" w:rsidRDefault="00355A75" w:rsidP="007913BF">
      <w:pPr>
        <w:pStyle w:val="Heading2"/>
        <w:pBdr>
          <w:bottom w:val="single" w:sz="4" w:space="1" w:color="auto"/>
        </w:pBdr>
        <w:shd w:val="clear" w:color="auto" w:fill="DEEAF6" w:themeFill="accent5" w:themeFillTint="33"/>
        <w:rPr>
          <w:b/>
          <w:bCs/>
          <w:color w:val="000000" w:themeColor="text1"/>
        </w:rPr>
      </w:pPr>
      <w:r>
        <w:rPr>
          <w:b/>
          <w:bCs/>
          <w:color w:val="000000" w:themeColor="text1"/>
        </w:rPr>
        <w:t>4</w:t>
      </w:r>
      <w:r w:rsidR="5A8CE91A" w:rsidRPr="5A8CE91A">
        <w:rPr>
          <w:b/>
          <w:bCs/>
          <w:color w:val="000000" w:themeColor="text1"/>
        </w:rPr>
        <w:t>:</w:t>
      </w:r>
      <w:r w:rsidR="00D40F08">
        <w:rPr>
          <w:b/>
          <w:bCs/>
          <w:color w:val="000000" w:themeColor="text1"/>
        </w:rPr>
        <w:t xml:space="preserve"> Professional Standards Update (15 mins) </w:t>
      </w:r>
      <w:r w:rsidR="007D1116">
        <w:rPr>
          <w:b/>
          <w:bCs/>
          <w:color w:val="000000" w:themeColor="text1"/>
        </w:rPr>
        <w:t>–</w:t>
      </w:r>
      <w:r w:rsidR="5A8CE91A" w:rsidRPr="5A8CE91A">
        <w:rPr>
          <w:b/>
          <w:bCs/>
          <w:color w:val="000000" w:themeColor="text1"/>
        </w:rPr>
        <w:t xml:space="preserve"> </w:t>
      </w:r>
      <w:r w:rsidR="00D40F08">
        <w:rPr>
          <w:b/>
          <w:bCs/>
          <w:color w:val="000000" w:themeColor="text1"/>
        </w:rPr>
        <w:t>Wing Tang</w:t>
      </w:r>
    </w:p>
    <w:tbl>
      <w:tblPr>
        <w:tblStyle w:val="TableGrid"/>
        <w:tblW w:w="9016" w:type="dxa"/>
        <w:tblLook w:val="04A0" w:firstRow="1" w:lastRow="0" w:firstColumn="1" w:lastColumn="0" w:noHBand="0" w:noVBand="1"/>
      </w:tblPr>
      <w:tblGrid>
        <w:gridCol w:w="1335"/>
        <w:gridCol w:w="7681"/>
      </w:tblGrid>
      <w:tr w:rsidR="007913BF" w14:paraId="4F92E3D0" w14:textId="77777777" w:rsidTr="1CEEC284">
        <w:trPr>
          <w:trHeight w:val="273"/>
        </w:trPr>
        <w:tc>
          <w:tcPr>
            <w:tcW w:w="1335" w:type="dxa"/>
          </w:tcPr>
          <w:p w14:paraId="15DE810D" w14:textId="77777777" w:rsidR="007913BF" w:rsidRPr="004237B3" w:rsidRDefault="007913BF" w:rsidP="00A773D9">
            <w:pPr>
              <w:rPr>
                <w:b/>
                <w:bCs/>
              </w:rPr>
            </w:pPr>
            <w:r w:rsidRPr="004237B3">
              <w:rPr>
                <w:b/>
                <w:bCs/>
              </w:rPr>
              <w:t>Description</w:t>
            </w:r>
          </w:p>
        </w:tc>
        <w:tc>
          <w:tcPr>
            <w:tcW w:w="7681" w:type="dxa"/>
          </w:tcPr>
          <w:p w14:paraId="52874F08" w14:textId="77777777" w:rsidR="00854AC4" w:rsidRDefault="00D40F08" w:rsidP="00D40F08">
            <w:pPr>
              <w:rPr>
                <w:rFonts w:cstheme="minorHAnsi"/>
              </w:rPr>
            </w:pPr>
            <w:r>
              <w:rPr>
                <w:rFonts w:cstheme="minorHAnsi"/>
              </w:rPr>
              <w:t>To provide an update on the development of professional standards at RPS</w:t>
            </w:r>
          </w:p>
          <w:p w14:paraId="14099B2E" w14:textId="54BD6177" w:rsidR="00D40F08" w:rsidRPr="004237B3" w:rsidRDefault="00D40F08" w:rsidP="00D40F08">
            <w:pPr>
              <w:rPr>
                <w:rFonts w:cstheme="minorHAnsi"/>
              </w:rPr>
            </w:pPr>
          </w:p>
        </w:tc>
      </w:tr>
      <w:tr w:rsidR="00D40F08" w14:paraId="60CF2669" w14:textId="77777777" w:rsidTr="1CEEC284">
        <w:trPr>
          <w:trHeight w:val="638"/>
        </w:trPr>
        <w:tc>
          <w:tcPr>
            <w:tcW w:w="1335" w:type="dxa"/>
          </w:tcPr>
          <w:p w14:paraId="513A93EE" w14:textId="77777777" w:rsidR="00D40F08" w:rsidRPr="004237B3" w:rsidRDefault="00D40F08" w:rsidP="00D40F08">
            <w:pPr>
              <w:rPr>
                <w:b/>
                <w:bCs/>
              </w:rPr>
            </w:pPr>
            <w:r w:rsidRPr="004237B3">
              <w:rPr>
                <w:b/>
                <w:bCs/>
              </w:rPr>
              <w:t>Purpose</w:t>
            </w:r>
          </w:p>
        </w:tc>
        <w:tc>
          <w:tcPr>
            <w:tcW w:w="7681" w:type="dxa"/>
          </w:tcPr>
          <w:p w14:paraId="4F49E47B" w14:textId="5396DC04" w:rsidR="00D40F08" w:rsidRPr="007B312E" w:rsidRDefault="00D40F08" w:rsidP="00D40F08">
            <w:pPr>
              <w:rPr>
                <w:rFonts w:ascii="Calibri" w:eastAsia="Calibri" w:hAnsi="Calibri" w:cs="Calibri"/>
              </w:rPr>
            </w:pPr>
            <w:r>
              <w:t>To get insight and feedback from PCPEAG members on this topic</w:t>
            </w:r>
          </w:p>
        </w:tc>
      </w:tr>
      <w:tr w:rsidR="00D40F08" w14:paraId="064CD4FD" w14:textId="77777777" w:rsidTr="1CEEC284">
        <w:trPr>
          <w:trHeight w:val="568"/>
        </w:trPr>
        <w:tc>
          <w:tcPr>
            <w:tcW w:w="1335" w:type="dxa"/>
          </w:tcPr>
          <w:p w14:paraId="06018149" w14:textId="77777777" w:rsidR="00D40F08" w:rsidRPr="004237B3" w:rsidRDefault="00D40F08" w:rsidP="00D40F08">
            <w:pPr>
              <w:rPr>
                <w:b/>
                <w:bCs/>
              </w:rPr>
            </w:pPr>
            <w:r w:rsidRPr="004237B3">
              <w:rPr>
                <w:b/>
                <w:bCs/>
              </w:rPr>
              <w:lastRenderedPageBreak/>
              <w:t>Outcomes</w:t>
            </w:r>
          </w:p>
        </w:tc>
        <w:tc>
          <w:tcPr>
            <w:tcW w:w="7681" w:type="dxa"/>
          </w:tcPr>
          <w:p w14:paraId="2030F22B" w14:textId="77777777" w:rsidR="00D40F08" w:rsidRDefault="00C075F4" w:rsidP="00D40F08">
            <w:r>
              <w:t>Working on 4 sets of professional standards:</w:t>
            </w:r>
          </w:p>
          <w:p w14:paraId="492CE039" w14:textId="431C6173" w:rsidR="00C075F4" w:rsidRDefault="00C075F4" w:rsidP="00C075F4">
            <w:pPr>
              <w:pStyle w:val="ListParagraph"/>
              <w:numPr>
                <w:ilvl w:val="0"/>
                <w:numId w:val="21"/>
              </w:numPr>
            </w:pPr>
            <w:r>
              <w:t xml:space="preserve">Homecare standards – system standards. Refresh of original standards published in 2013. Consultation stage. </w:t>
            </w:r>
            <w:r w:rsidR="00E36787">
              <w:t xml:space="preserve">House of Lords active inquiry in this area. Standards due to be published at end of the </w:t>
            </w:r>
            <w:proofErr w:type="gramStart"/>
            <w:r w:rsidR="00E36787">
              <w:t>year</w:t>
            </w:r>
            <w:proofErr w:type="gramEnd"/>
          </w:p>
          <w:p w14:paraId="5A3E72F9" w14:textId="66DE34CC" w:rsidR="00E36787" w:rsidRDefault="00E36787" w:rsidP="00E36787">
            <w:pPr>
              <w:pStyle w:val="ListParagraph"/>
              <w:rPr>
                <w:b/>
                <w:bCs/>
                <w:i/>
                <w:iCs/>
              </w:rPr>
            </w:pPr>
            <w:r w:rsidRPr="00E36787">
              <w:rPr>
                <w:b/>
                <w:bCs/>
              </w:rPr>
              <w:t>ACTION</w:t>
            </w:r>
            <w:r>
              <w:t xml:space="preserve">: </w:t>
            </w:r>
            <w:r w:rsidRPr="00E36787">
              <w:rPr>
                <w:b/>
                <w:bCs/>
                <w:i/>
                <w:iCs/>
              </w:rPr>
              <w:t>PCPEAG members to respond and circulate consultation where relevant</w:t>
            </w:r>
          </w:p>
          <w:p w14:paraId="1615D218" w14:textId="77777777" w:rsidR="001420DD" w:rsidRPr="001420DD" w:rsidRDefault="001420DD" w:rsidP="001420DD">
            <w:pPr>
              <w:rPr>
                <w:b/>
                <w:bCs/>
                <w:i/>
                <w:iCs/>
              </w:rPr>
            </w:pPr>
          </w:p>
          <w:p w14:paraId="5FD4C464" w14:textId="69452F49" w:rsidR="00C075F4" w:rsidRDefault="00E36787" w:rsidP="00C075F4">
            <w:pPr>
              <w:pStyle w:val="ListParagraph"/>
              <w:numPr>
                <w:ilvl w:val="0"/>
                <w:numId w:val="21"/>
              </w:numPr>
            </w:pPr>
            <w:r>
              <w:t xml:space="preserve">Interim standards for virtual wards – Variability in the way VWs </w:t>
            </w:r>
            <w:proofErr w:type="gramStart"/>
            <w:r>
              <w:t>are</w:t>
            </w:r>
            <w:proofErr w:type="gramEnd"/>
            <w:r>
              <w:t xml:space="preserve"> delivered and some wards are progressing with no pharmacy involvement. Interim standards aim to support pharmacists working in VW to quality assure those VW that already exist </w:t>
            </w:r>
            <w:proofErr w:type="gramStart"/>
            <w:r>
              <w:t>and also</w:t>
            </w:r>
            <w:proofErr w:type="gramEnd"/>
            <w:r>
              <w:t xml:space="preserve"> provide confidence for those setting up VW. Main terminology will be ‘Hospital at </w:t>
            </w:r>
            <w:proofErr w:type="gramStart"/>
            <w:r>
              <w:t>Home’</w:t>
            </w:r>
            <w:proofErr w:type="gramEnd"/>
          </w:p>
          <w:p w14:paraId="00F2D352" w14:textId="309030D0" w:rsidR="001420DD" w:rsidRDefault="00E36787" w:rsidP="00E36787">
            <w:pPr>
              <w:pStyle w:val="ListParagraph"/>
              <w:rPr>
                <w:b/>
                <w:bCs/>
                <w:i/>
                <w:iCs/>
              </w:rPr>
            </w:pPr>
            <w:r w:rsidRPr="00E36787">
              <w:rPr>
                <w:b/>
                <w:bCs/>
              </w:rPr>
              <w:t>ACTION:</w:t>
            </w:r>
            <w:r>
              <w:t xml:space="preserve"> </w:t>
            </w:r>
            <w:r w:rsidRPr="00E36787">
              <w:rPr>
                <w:b/>
                <w:bCs/>
                <w:i/>
                <w:iCs/>
              </w:rPr>
              <w:t>PCPEAG to be aware these standards are coming</w:t>
            </w:r>
          </w:p>
          <w:p w14:paraId="1C4F7D8C" w14:textId="77777777" w:rsidR="001420DD" w:rsidRDefault="001420DD" w:rsidP="00E36787">
            <w:pPr>
              <w:pStyle w:val="ListParagraph"/>
              <w:rPr>
                <w:b/>
                <w:bCs/>
                <w:i/>
                <w:iCs/>
              </w:rPr>
            </w:pPr>
          </w:p>
          <w:p w14:paraId="0700FB2D" w14:textId="77777777" w:rsidR="00E36787" w:rsidRDefault="00E36787" w:rsidP="00E36787">
            <w:pPr>
              <w:pStyle w:val="ListParagraph"/>
              <w:numPr>
                <w:ilvl w:val="0"/>
                <w:numId w:val="21"/>
              </w:numPr>
            </w:pPr>
            <w:r>
              <w:t>Error Reporting Standards – refresh of current standards. Consultation on current version happened in April. New version drafted and being reviewed by panel.</w:t>
            </w:r>
          </w:p>
          <w:p w14:paraId="64E00039" w14:textId="77777777" w:rsidR="001420DD" w:rsidRDefault="001420DD" w:rsidP="001420DD">
            <w:pPr>
              <w:pStyle w:val="ListParagraph"/>
            </w:pPr>
          </w:p>
          <w:p w14:paraId="231BCA0E" w14:textId="6A89E7B7" w:rsidR="00E36787" w:rsidRDefault="00E36787" w:rsidP="00E36787">
            <w:pPr>
              <w:pStyle w:val="ListParagraph"/>
              <w:numPr>
                <w:ilvl w:val="0"/>
                <w:numId w:val="21"/>
              </w:numPr>
            </w:pPr>
            <w:r>
              <w:t xml:space="preserve">Greener Pharmacy Standards – support pharmacies to achieve net zero and better environmental sustainability. NHSE commissioned work. Focus to develop standards, </w:t>
            </w:r>
            <w:proofErr w:type="gramStart"/>
            <w:r>
              <w:t>guidance</w:t>
            </w:r>
            <w:proofErr w:type="gramEnd"/>
            <w:r>
              <w:t xml:space="preserve"> and electronic toolkit to support community and hospital pharmacies to achieve net zero. Standards already exist for general practice.</w:t>
            </w:r>
            <w:r w:rsidR="00E42D71">
              <w:t xml:space="preserve"> Will be consulting in October. Would be good to refer to the GP standards in the pharmacy standards.</w:t>
            </w:r>
          </w:p>
          <w:p w14:paraId="02C979A8" w14:textId="2F22E440" w:rsidR="00E36787" w:rsidRPr="000C7A2D" w:rsidRDefault="00E36787" w:rsidP="00E36787">
            <w:pPr>
              <w:pStyle w:val="ListParagraph"/>
            </w:pPr>
          </w:p>
        </w:tc>
      </w:tr>
    </w:tbl>
    <w:p w14:paraId="596AD219" w14:textId="77777777" w:rsidR="00035C75" w:rsidRDefault="00035C75" w:rsidP="007913BF">
      <w:pPr>
        <w:spacing w:after="0"/>
      </w:pPr>
    </w:p>
    <w:p w14:paraId="5CF6FF44" w14:textId="5D23909C" w:rsidR="00035C75" w:rsidRPr="007D1116" w:rsidRDefault="7540FD09" w:rsidP="7540FD09">
      <w:pPr>
        <w:pStyle w:val="Heading2"/>
        <w:pBdr>
          <w:bottom w:val="single" w:sz="4" w:space="0" w:color="auto"/>
        </w:pBdr>
        <w:shd w:val="clear" w:color="auto" w:fill="DEEAF6" w:themeFill="accent5" w:themeFillTint="33"/>
        <w:rPr>
          <w:b/>
          <w:bCs/>
          <w:color w:val="000000" w:themeColor="text1"/>
          <w:lang w:val="fr-FR"/>
        </w:rPr>
      </w:pPr>
      <w:proofErr w:type="gramStart"/>
      <w:r w:rsidRPr="7540FD09">
        <w:rPr>
          <w:b/>
          <w:bCs/>
          <w:color w:val="000000" w:themeColor="text1"/>
          <w:lang w:val="fr-FR"/>
        </w:rPr>
        <w:t>5:</w:t>
      </w:r>
      <w:proofErr w:type="gramEnd"/>
      <w:r w:rsidRPr="7540FD09">
        <w:rPr>
          <w:b/>
          <w:bCs/>
          <w:color w:val="000000" w:themeColor="text1"/>
          <w:lang w:val="fr-FR"/>
        </w:rPr>
        <w:t xml:space="preserve"> Annual Conference</w:t>
      </w:r>
      <w:r w:rsidR="00912D5F">
        <w:rPr>
          <w:b/>
          <w:bCs/>
          <w:color w:val="000000" w:themeColor="text1"/>
          <w:lang w:val="fr-FR"/>
        </w:rPr>
        <w:t xml:space="preserve"> (10 minutes)</w:t>
      </w:r>
      <w:r w:rsidRPr="7540FD09">
        <w:rPr>
          <w:b/>
          <w:bCs/>
          <w:color w:val="000000" w:themeColor="text1"/>
          <w:lang w:val="fr-FR"/>
        </w:rPr>
        <w:t>– Neal Patel</w:t>
      </w:r>
      <w:r w:rsidR="001420DD">
        <w:rPr>
          <w:b/>
          <w:bCs/>
          <w:color w:val="000000" w:themeColor="text1"/>
          <w:lang w:val="fr-FR"/>
        </w:rPr>
        <w:t xml:space="preserve"> – Unable to attend</w:t>
      </w:r>
    </w:p>
    <w:tbl>
      <w:tblPr>
        <w:tblStyle w:val="TableGrid"/>
        <w:tblW w:w="9016" w:type="dxa"/>
        <w:tblLook w:val="04A0" w:firstRow="1" w:lastRow="0" w:firstColumn="1" w:lastColumn="0" w:noHBand="0" w:noVBand="1"/>
      </w:tblPr>
      <w:tblGrid>
        <w:gridCol w:w="1380"/>
        <w:gridCol w:w="7636"/>
      </w:tblGrid>
      <w:tr w:rsidR="00854AC4" w14:paraId="62ED121E" w14:textId="77777777" w:rsidTr="1CEEC284">
        <w:trPr>
          <w:trHeight w:val="273"/>
        </w:trPr>
        <w:tc>
          <w:tcPr>
            <w:tcW w:w="1380" w:type="dxa"/>
          </w:tcPr>
          <w:p w14:paraId="0AABAB99" w14:textId="77777777" w:rsidR="00854AC4" w:rsidRPr="004237B3" w:rsidRDefault="00854AC4" w:rsidP="00854AC4">
            <w:pPr>
              <w:rPr>
                <w:b/>
                <w:bCs/>
              </w:rPr>
            </w:pPr>
            <w:r w:rsidRPr="004237B3">
              <w:rPr>
                <w:b/>
                <w:bCs/>
              </w:rPr>
              <w:t>Description</w:t>
            </w:r>
          </w:p>
        </w:tc>
        <w:tc>
          <w:tcPr>
            <w:tcW w:w="7636" w:type="dxa"/>
          </w:tcPr>
          <w:p w14:paraId="5046F3FD" w14:textId="2BA67A0D" w:rsidR="00854AC4" w:rsidRDefault="00854AC4" w:rsidP="00854AC4">
            <w:r>
              <w:t xml:space="preserve">To provide an update on </w:t>
            </w:r>
            <w:r w:rsidR="00D40F08">
              <w:t>RPS annual conference</w:t>
            </w:r>
          </w:p>
          <w:p w14:paraId="744DACDA" w14:textId="53E1015A" w:rsidR="00854AC4" w:rsidRPr="004237B3" w:rsidRDefault="00854AC4" w:rsidP="00854AC4"/>
        </w:tc>
      </w:tr>
      <w:tr w:rsidR="00854AC4" w14:paraId="7E5AF45F" w14:textId="77777777" w:rsidTr="1CEEC284">
        <w:trPr>
          <w:trHeight w:val="638"/>
        </w:trPr>
        <w:tc>
          <w:tcPr>
            <w:tcW w:w="1380" w:type="dxa"/>
          </w:tcPr>
          <w:p w14:paraId="3BDCEA88" w14:textId="77777777" w:rsidR="00854AC4" w:rsidRPr="004237B3" w:rsidRDefault="00854AC4" w:rsidP="00854AC4">
            <w:pPr>
              <w:rPr>
                <w:b/>
                <w:bCs/>
              </w:rPr>
            </w:pPr>
            <w:r w:rsidRPr="004237B3">
              <w:rPr>
                <w:b/>
                <w:bCs/>
              </w:rPr>
              <w:t>Purpose</w:t>
            </w:r>
          </w:p>
        </w:tc>
        <w:tc>
          <w:tcPr>
            <w:tcW w:w="7636" w:type="dxa"/>
          </w:tcPr>
          <w:p w14:paraId="2768E662" w14:textId="0D798CD8" w:rsidR="00854AC4" w:rsidRPr="007B312E" w:rsidRDefault="00D40F08" w:rsidP="00854AC4">
            <w:pPr>
              <w:pStyle w:val="ListParagraph"/>
              <w:ind w:left="0"/>
            </w:pPr>
            <w:r>
              <w:t>To get insight and feedback from PCPEAG members on this topic</w:t>
            </w:r>
          </w:p>
        </w:tc>
      </w:tr>
      <w:tr w:rsidR="00854AC4" w14:paraId="6C441B0B" w14:textId="77777777" w:rsidTr="1CEEC284">
        <w:trPr>
          <w:trHeight w:val="568"/>
        </w:trPr>
        <w:tc>
          <w:tcPr>
            <w:tcW w:w="1380" w:type="dxa"/>
          </w:tcPr>
          <w:p w14:paraId="025DD840" w14:textId="77777777" w:rsidR="00854AC4" w:rsidRPr="004237B3" w:rsidRDefault="00854AC4" w:rsidP="00854AC4">
            <w:pPr>
              <w:rPr>
                <w:b/>
                <w:bCs/>
              </w:rPr>
            </w:pPr>
            <w:r w:rsidRPr="004237B3">
              <w:rPr>
                <w:b/>
                <w:bCs/>
              </w:rPr>
              <w:t>Outcomes</w:t>
            </w:r>
          </w:p>
        </w:tc>
        <w:tc>
          <w:tcPr>
            <w:tcW w:w="7636" w:type="dxa"/>
          </w:tcPr>
          <w:p w14:paraId="0EEB19A9" w14:textId="1D10548E" w:rsidR="00854AC4" w:rsidRPr="000C7A2D" w:rsidRDefault="0099432B" w:rsidP="00854AC4">
            <w:r>
              <w:t>Conference planning is going well</w:t>
            </w:r>
          </w:p>
        </w:tc>
      </w:tr>
    </w:tbl>
    <w:p w14:paraId="2BE959FC" w14:textId="1B853478" w:rsidR="00384591" w:rsidRDefault="00384591" w:rsidP="00A75C94">
      <w:pPr>
        <w:spacing w:after="0"/>
      </w:pPr>
    </w:p>
    <w:p w14:paraId="3B024985" w14:textId="77777777" w:rsidR="00D40F08" w:rsidRDefault="00D40F08" w:rsidP="00A75C94">
      <w:pPr>
        <w:spacing w:after="0"/>
      </w:pPr>
    </w:p>
    <w:p w14:paraId="6B8B5B5A" w14:textId="390F260D" w:rsidR="00D40F08" w:rsidRPr="007D1116" w:rsidRDefault="00D40F08" w:rsidP="00D40F08">
      <w:pPr>
        <w:pStyle w:val="Heading2"/>
        <w:pBdr>
          <w:bottom w:val="single" w:sz="4" w:space="0" w:color="auto"/>
        </w:pBdr>
        <w:shd w:val="clear" w:color="auto" w:fill="DEEAF6" w:themeFill="accent5" w:themeFillTint="33"/>
        <w:rPr>
          <w:b/>
          <w:bCs/>
          <w:color w:val="000000" w:themeColor="text1"/>
          <w:lang w:val="fr-FR"/>
        </w:rPr>
      </w:pPr>
      <w:proofErr w:type="gramStart"/>
      <w:r>
        <w:rPr>
          <w:b/>
          <w:bCs/>
          <w:color w:val="000000" w:themeColor="text1"/>
          <w:lang w:val="fr-FR"/>
        </w:rPr>
        <w:t>6</w:t>
      </w:r>
      <w:r w:rsidRPr="007D1116">
        <w:rPr>
          <w:b/>
          <w:bCs/>
          <w:color w:val="000000" w:themeColor="text1"/>
          <w:lang w:val="fr-FR"/>
        </w:rPr>
        <w:t>:</w:t>
      </w:r>
      <w:r>
        <w:rPr>
          <w:b/>
          <w:bCs/>
          <w:color w:val="000000" w:themeColor="text1"/>
          <w:lang w:val="fr-FR"/>
        </w:rPr>
        <w:t>Foundation</w:t>
      </w:r>
      <w:proofErr w:type="gramEnd"/>
      <w:r>
        <w:rPr>
          <w:b/>
          <w:bCs/>
          <w:color w:val="000000" w:themeColor="text1"/>
          <w:lang w:val="fr-FR"/>
        </w:rPr>
        <w:t xml:space="preserve"> Offer</w:t>
      </w:r>
      <w:r w:rsidR="00912D5F">
        <w:rPr>
          <w:b/>
          <w:bCs/>
          <w:color w:val="000000" w:themeColor="text1"/>
          <w:lang w:val="fr-FR"/>
        </w:rPr>
        <w:t xml:space="preserve"> (10 minutes)</w:t>
      </w:r>
      <w:r>
        <w:rPr>
          <w:b/>
          <w:bCs/>
          <w:color w:val="000000" w:themeColor="text1"/>
          <w:lang w:val="fr-FR"/>
        </w:rPr>
        <w:t xml:space="preserve"> </w:t>
      </w:r>
      <w:r w:rsidRPr="7B5E0B07">
        <w:rPr>
          <w:b/>
          <w:bCs/>
          <w:color w:val="000000" w:themeColor="text1"/>
          <w:lang w:val="fr-FR"/>
        </w:rPr>
        <w:t xml:space="preserve">– </w:t>
      </w:r>
      <w:r>
        <w:rPr>
          <w:b/>
          <w:bCs/>
          <w:color w:val="000000" w:themeColor="text1"/>
          <w:lang w:val="fr-FR"/>
        </w:rPr>
        <w:t>Neal Patel</w:t>
      </w:r>
      <w:r w:rsidR="001420DD">
        <w:rPr>
          <w:b/>
          <w:bCs/>
          <w:color w:val="000000" w:themeColor="text1"/>
          <w:lang w:val="fr-FR"/>
        </w:rPr>
        <w:t xml:space="preserve"> – Unable to attend</w:t>
      </w:r>
    </w:p>
    <w:tbl>
      <w:tblPr>
        <w:tblStyle w:val="TableGrid"/>
        <w:tblW w:w="9016" w:type="dxa"/>
        <w:tblLook w:val="04A0" w:firstRow="1" w:lastRow="0" w:firstColumn="1" w:lastColumn="0" w:noHBand="0" w:noVBand="1"/>
      </w:tblPr>
      <w:tblGrid>
        <w:gridCol w:w="1380"/>
        <w:gridCol w:w="7636"/>
      </w:tblGrid>
      <w:tr w:rsidR="00D40F08" w14:paraId="6321D83E" w14:textId="77777777" w:rsidTr="007E1746">
        <w:trPr>
          <w:trHeight w:val="273"/>
        </w:trPr>
        <w:tc>
          <w:tcPr>
            <w:tcW w:w="1380" w:type="dxa"/>
          </w:tcPr>
          <w:p w14:paraId="5C3C82C1" w14:textId="77777777" w:rsidR="00D40F08" w:rsidRPr="004237B3" w:rsidRDefault="00D40F08" w:rsidP="007E1746">
            <w:pPr>
              <w:rPr>
                <w:b/>
                <w:bCs/>
              </w:rPr>
            </w:pPr>
            <w:r w:rsidRPr="004237B3">
              <w:rPr>
                <w:b/>
                <w:bCs/>
              </w:rPr>
              <w:t>Description</w:t>
            </w:r>
          </w:p>
        </w:tc>
        <w:tc>
          <w:tcPr>
            <w:tcW w:w="7636" w:type="dxa"/>
          </w:tcPr>
          <w:p w14:paraId="18711815" w14:textId="7E8ABC1D" w:rsidR="00D40F08" w:rsidRDefault="00D40F08" w:rsidP="007E1746">
            <w:r>
              <w:t xml:space="preserve">To provide an update on the offer RPS provides to foundation </w:t>
            </w:r>
            <w:proofErr w:type="gramStart"/>
            <w:r>
              <w:t>pharmacists</w:t>
            </w:r>
            <w:proofErr w:type="gramEnd"/>
          </w:p>
          <w:p w14:paraId="45B59BAB" w14:textId="77777777" w:rsidR="00D40F08" w:rsidRPr="004237B3" w:rsidRDefault="00D40F08" w:rsidP="007E1746"/>
        </w:tc>
      </w:tr>
      <w:tr w:rsidR="00D40F08" w14:paraId="766841C4" w14:textId="77777777" w:rsidTr="007E1746">
        <w:trPr>
          <w:trHeight w:val="638"/>
        </w:trPr>
        <w:tc>
          <w:tcPr>
            <w:tcW w:w="1380" w:type="dxa"/>
          </w:tcPr>
          <w:p w14:paraId="2471BCA9" w14:textId="77777777" w:rsidR="00D40F08" w:rsidRPr="004237B3" w:rsidRDefault="00D40F08" w:rsidP="007E1746">
            <w:pPr>
              <w:rPr>
                <w:b/>
                <w:bCs/>
              </w:rPr>
            </w:pPr>
            <w:r w:rsidRPr="004237B3">
              <w:rPr>
                <w:b/>
                <w:bCs/>
              </w:rPr>
              <w:t>Purpose</w:t>
            </w:r>
          </w:p>
        </w:tc>
        <w:tc>
          <w:tcPr>
            <w:tcW w:w="7636" w:type="dxa"/>
          </w:tcPr>
          <w:p w14:paraId="3A5F55B8" w14:textId="0B1CF36B" w:rsidR="00D40F08" w:rsidRPr="007B312E" w:rsidRDefault="00D40F08" w:rsidP="007E1746">
            <w:pPr>
              <w:pStyle w:val="ListParagraph"/>
              <w:ind w:left="0"/>
            </w:pPr>
            <w:r>
              <w:t>To get insight and feedback from PCPEAG members on this topic</w:t>
            </w:r>
          </w:p>
        </w:tc>
      </w:tr>
      <w:tr w:rsidR="00D40F08" w14:paraId="51C187A6" w14:textId="77777777" w:rsidTr="007E1746">
        <w:trPr>
          <w:trHeight w:val="568"/>
        </w:trPr>
        <w:tc>
          <w:tcPr>
            <w:tcW w:w="1380" w:type="dxa"/>
          </w:tcPr>
          <w:p w14:paraId="18AFF8D0" w14:textId="77777777" w:rsidR="00D40F08" w:rsidRPr="004237B3" w:rsidRDefault="00D40F08" w:rsidP="007E1746">
            <w:pPr>
              <w:rPr>
                <w:b/>
                <w:bCs/>
              </w:rPr>
            </w:pPr>
            <w:r w:rsidRPr="004237B3">
              <w:rPr>
                <w:b/>
                <w:bCs/>
              </w:rPr>
              <w:t>Outcomes</w:t>
            </w:r>
          </w:p>
        </w:tc>
        <w:tc>
          <w:tcPr>
            <w:tcW w:w="7636" w:type="dxa"/>
          </w:tcPr>
          <w:p w14:paraId="31E8F9BD" w14:textId="3FA27B80" w:rsidR="00D40F08" w:rsidRPr="000C7A2D" w:rsidRDefault="0099432B" w:rsidP="007E1746">
            <w:r w:rsidRPr="0099432B">
              <w:t>https://www.rpharms.com/rps-membership/foundation</w:t>
            </w:r>
          </w:p>
        </w:tc>
      </w:tr>
    </w:tbl>
    <w:p w14:paraId="087DC9CB" w14:textId="77777777" w:rsidR="00D40F08" w:rsidRDefault="00D40F08" w:rsidP="00D40F08">
      <w:pPr>
        <w:spacing w:after="0"/>
      </w:pPr>
    </w:p>
    <w:p w14:paraId="16C3AB32" w14:textId="77777777" w:rsidR="00D40F08" w:rsidRDefault="00D40F08" w:rsidP="00A75C94">
      <w:pPr>
        <w:spacing w:after="0"/>
      </w:pPr>
    </w:p>
    <w:p w14:paraId="2A4B0696" w14:textId="1ED93BE7" w:rsidR="00B71420" w:rsidRPr="0044432F" w:rsidRDefault="00D40F08" w:rsidP="7B5E0B07">
      <w:pPr>
        <w:keepNext/>
        <w:keepLines/>
        <w:pBdr>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7</w:t>
      </w:r>
      <w:r w:rsidR="7B5E0B07" w:rsidRPr="7B5E0B07">
        <w:rPr>
          <w:rFonts w:asciiTheme="majorHAnsi" w:eastAsiaTheme="majorEastAsia" w:hAnsiTheme="majorHAnsi" w:cstheme="majorBidi"/>
          <w:b/>
          <w:bCs/>
          <w:color w:val="000000" w:themeColor="text1"/>
          <w:sz w:val="26"/>
          <w:szCs w:val="26"/>
        </w:rPr>
        <w:t xml:space="preserve">: AOB and summary </w:t>
      </w:r>
      <w:r w:rsidR="7B5E0B07">
        <w:t>(</w:t>
      </w:r>
      <w:r w:rsidR="7B5E0B07" w:rsidRPr="7B5E0B07">
        <w:rPr>
          <w:rFonts w:asciiTheme="majorHAnsi" w:eastAsiaTheme="majorEastAsia" w:hAnsiTheme="majorHAnsi" w:cstheme="majorBidi"/>
          <w:b/>
          <w:bCs/>
          <w:color w:val="000000" w:themeColor="text1"/>
          <w:sz w:val="26"/>
          <w:szCs w:val="26"/>
        </w:rPr>
        <w:t xml:space="preserve">10 mins) </w:t>
      </w:r>
      <w:proofErr w:type="gramStart"/>
      <w:r w:rsidR="7B5E0B07" w:rsidRPr="7B5E0B07">
        <w:rPr>
          <w:rFonts w:asciiTheme="majorHAnsi" w:eastAsiaTheme="majorEastAsia" w:hAnsiTheme="majorHAnsi" w:cstheme="majorBidi"/>
          <w:b/>
          <w:bCs/>
          <w:color w:val="000000" w:themeColor="text1"/>
          <w:sz w:val="26"/>
          <w:szCs w:val="26"/>
        </w:rPr>
        <w:t>-  Anne</w:t>
      </w:r>
      <w:proofErr w:type="gramEnd"/>
      <w:r w:rsidR="7B5E0B07" w:rsidRPr="7B5E0B07">
        <w:rPr>
          <w:rFonts w:asciiTheme="majorHAnsi" w:eastAsiaTheme="majorEastAsia" w:hAnsiTheme="majorHAnsi" w:cstheme="majorBidi"/>
          <w:b/>
          <w:bCs/>
          <w:color w:val="000000" w:themeColor="text1"/>
          <w:sz w:val="26"/>
          <w:szCs w:val="26"/>
        </w:rPr>
        <w:t xml:space="preserve"> Thomson</w:t>
      </w:r>
    </w:p>
    <w:tbl>
      <w:tblPr>
        <w:tblStyle w:val="TableGrid"/>
        <w:tblW w:w="0" w:type="auto"/>
        <w:tblLook w:val="04A0" w:firstRow="1" w:lastRow="0" w:firstColumn="1" w:lastColumn="0" w:noHBand="0" w:noVBand="1"/>
      </w:tblPr>
      <w:tblGrid>
        <w:gridCol w:w="1271"/>
        <w:gridCol w:w="7745"/>
      </w:tblGrid>
      <w:tr w:rsidR="00B71420" w14:paraId="1974D4BE" w14:textId="77777777" w:rsidTr="00AB2248">
        <w:trPr>
          <w:trHeight w:val="365"/>
        </w:trPr>
        <w:tc>
          <w:tcPr>
            <w:tcW w:w="1271" w:type="dxa"/>
          </w:tcPr>
          <w:p w14:paraId="1B4866D6" w14:textId="77777777" w:rsidR="00B71420" w:rsidRPr="0089288F" w:rsidRDefault="00B71420" w:rsidP="00365528">
            <w:pPr>
              <w:rPr>
                <w:rFonts w:cstheme="minorHAnsi"/>
                <w:b/>
                <w:bCs/>
              </w:rPr>
            </w:pPr>
            <w:r w:rsidRPr="0089288F">
              <w:rPr>
                <w:rFonts w:cstheme="minorHAnsi"/>
                <w:b/>
                <w:bCs/>
              </w:rPr>
              <w:t>Description</w:t>
            </w:r>
          </w:p>
        </w:tc>
        <w:tc>
          <w:tcPr>
            <w:tcW w:w="7745" w:type="dxa"/>
          </w:tcPr>
          <w:p w14:paraId="439DD803" w14:textId="1AEF8BF2" w:rsidR="00FD5136" w:rsidRPr="0089288F" w:rsidRDefault="00FD5136" w:rsidP="007510AD">
            <w:pPr>
              <w:pStyle w:val="PlainText"/>
              <w:ind w:left="720"/>
              <w:rPr>
                <w:rFonts w:asciiTheme="minorHAnsi" w:hAnsiTheme="minorHAnsi" w:cstheme="minorHAnsi"/>
                <w:sz w:val="22"/>
                <w:szCs w:val="22"/>
              </w:rPr>
            </w:pPr>
          </w:p>
        </w:tc>
      </w:tr>
      <w:tr w:rsidR="00B71420" w14:paraId="3F5F1F08" w14:textId="77777777" w:rsidTr="00365528">
        <w:trPr>
          <w:trHeight w:val="568"/>
        </w:trPr>
        <w:tc>
          <w:tcPr>
            <w:tcW w:w="1271" w:type="dxa"/>
          </w:tcPr>
          <w:p w14:paraId="321234D9" w14:textId="77777777" w:rsidR="00B71420" w:rsidRPr="0089288F" w:rsidRDefault="00B71420" w:rsidP="00365528">
            <w:pPr>
              <w:rPr>
                <w:b/>
                <w:bCs/>
              </w:rPr>
            </w:pPr>
            <w:r w:rsidRPr="0089288F">
              <w:rPr>
                <w:b/>
                <w:bCs/>
              </w:rPr>
              <w:lastRenderedPageBreak/>
              <w:t>Purpose</w:t>
            </w:r>
          </w:p>
        </w:tc>
        <w:tc>
          <w:tcPr>
            <w:tcW w:w="7745" w:type="dxa"/>
          </w:tcPr>
          <w:p w14:paraId="7F8228AB" w14:textId="30B2C2D3" w:rsidR="00B71420" w:rsidRPr="0089288F" w:rsidRDefault="00B71420" w:rsidP="00365528">
            <w:pPr>
              <w:shd w:val="clear" w:color="auto" w:fill="FFFFFF"/>
              <w:jc w:val="both"/>
              <w:outlineLvl w:val="0"/>
              <w:rPr>
                <w:rFonts w:ascii="Calibri" w:hAnsi="Calibri" w:cs="Calibri"/>
              </w:rPr>
            </w:pPr>
          </w:p>
        </w:tc>
      </w:tr>
      <w:tr w:rsidR="00B71420" w14:paraId="60426DF8" w14:textId="77777777" w:rsidTr="00365528">
        <w:trPr>
          <w:trHeight w:val="528"/>
        </w:trPr>
        <w:tc>
          <w:tcPr>
            <w:tcW w:w="1271" w:type="dxa"/>
          </w:tcPr>
          <w:p w14:paraId="3F3659F0" w14:textId="77777777" w:rsidR="00B71420" w:rsidRPr="0089288F" w:rsidRDefault="00B71420" w:rsidP="00365528">
            <w:pPr>
              <w:rPr>
                <w:b/>
                <w:bCs/>
              </w:rPr>
            </w:pPr>
            <w:r w:rsidRPr="0089288F">
              <w:rPr>
                <w:b/>
                <w:bCs/>
              </w:rPr>
              <w:t>Outcomes</w:t>
            </w:r>
          </w:p>
        </w:tc>
        <w:tc>
          <w:tcPr>
            <w:tcW w:w="7745" w:type="dxa"/>
          </w:tcPr>
          <w:p w14:paraId="23251279" w14:textId="0075653A" w:rsidR="00B71420" w:rsidRPr="00D258BC" w:rsidRDefault="00D258BC" w:rsidP="00AB2248">
            <w:r w:rsidRPr="00D258BC">
              <w:t>Discussed how the group was working and group members will fe</w:t>
            </w:r>
            <w:r w:rsidR="001420DD">
              <w:t>e</w:t>
            </w:r>
            <w:r w:rsidRPr="00D258BC">
              <w:t>d back via email</w:t>
            </w:r>
          </w:p>
        </w:tc>
      </w:tr>
    </w:tbl>
    <w:p w14:paraId="13BBE4F3" w14:textId="77777777" w:rsidR="00B71420" w:rsidRDefault="00B71420" w:rsidP="00A75C94">
      <w:pPr>
        <w:spacing w:after="0"/>
      </w:pPr>
    </w:p>
    <w:sectPr w:rsidR="00B7142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1800" w14:textId="77777777" w:rsidR="009B2C63" w:rsidRDefault="009B2C63" w:rsidP="00E14CCB">
      <w:pPr>
        <w:spacing w:after="0" w:line="240" w:lineRule="auto"/>
      </w:pPr>
      <w:r>
        <w:separator/>
      </w:r>
    </w:p>
  </w:endnote>
  <w:endnote w:type="continuationSeparator" w:id="0">
    <w:p w14:paraId="4A310A52" w14:textId="77777777" w:rsidR="009B2C63" w:rsidRDefault="009B2C63"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FA83" w14:textId="77777777" w:rsidR="009B2C63" w:rsidRDefault="009B2C63" w:rsidP="00E14CCB">
      <w:pPr>
        <w:spacing w:after="0" w:line="240" w:lineRule="auto"/>
      </w:pPr>
      <w:r>
        <w:separator/>
      </w:r>
    </w:p>
  </w:footnote>
  <w:footnote w:type="continuationSeparator" w:id="0">
    <w:p w14:paraId="003F298E" w14:textId="77777777" w:rsidR="009B2C63" w:rsidRDefault="009B2C63"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12C" w14:textId="1B373708"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10E52"/>
    <w:multiLevelType w:val="hybridMultilevel"/>
    <w:tmpl w:val="013A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F5D8A"/>
    <w:multiLevelType w:val="hybridMultilevel"/>
    <w:tmpl w:val="E270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90522"/>
    <w:multiLevelType w:val="hybridMultilevel"/>
    <w:tmpl w:val="39C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F798B"/>
    <w:multiLevelType w:val="hybridMultilevel"/>
    <w:tmpl w:val="485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E25A5"/>
    <w:multiLevelType w:val="hybridMultilevel"/>
    <w:tmpl w:val="A13CEE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A31182"/>
    <w:multiLevelType w:val="hybridMultilevel"/>
    <w:tmpl w:val="9A00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8359493">
    <w:abstractNumId w:val="12"/>
  </w:num>
  <w:num w:numId="2" w16cid:durableId="1600333723">
    <w:abstractNumId w:val="15"/>
  </w:num>
  <w:num w:numId="3" w16cid:durableId="422608730">
    <w:abstractNumId w:val="16"/>
  </w:num>
  <w:num w:numId="4" w16cid:durableId="1873377491">
    <w:abstractNumId w:val="20"/>
  </w:num>
  <w:num w:numId="5" w16cid:durableId="1765491290">
    <w:abstractNumId w:val="1"/>
  </w:num>
  <w:num w:numId="6" w16cid:durableId="687372866">
    <w:abstractNumId w:val="3"/>
  </w:num>
  <w:num w:numId="7" w16cid:durableId="342517176">
    <w:abstractNumId w:val="0"/>
  </w:num>
  <w:num w:numId="8" w16cid:durableId="1224297776">
    <w:abstractNumId w:val="13"/>
  </w:num>
  <w:num w:numId="9" w16cid:durableId="1226843299">
    <w:abstractNumId w:val="17"/>
  </w:num>
  <w:num w:numId="10" w16cid:durableId="95909134">
    <w:abstractNumId w:val="9"/>
  </w:num>
  <w:num w:numId="11" w16cid:durableId="1334260094">
    <w:abstractNumId w:val="2"/>
  </w:num>
  <w:num w:numId="12" w16cid:durableId="1925526153">
    <w:abstractNumId w:val="21"/>
  </w:num>
  <w:num w:numId="13" w16cid:durableId="201984590">
    <w:abstractNumId w:val="10"/>
  </w:num>
  <w:num w:numId="14" w16cid:durableId="1616407232">
    <w:abstractNumId w:val="5"/>
  </w:num>
  <w:num w:numId="15" w16cid:durableId="478497986">
    <w:abstractNumId w:val="19"/>
  </w:num>
  <w:num w:numId="16" w16cid:durableId="514727754">
    <w:abstractNumId w:val="6"/>
  </w:num>
  <w:num w:numId="17" w16cid:durableId="549346689">
    <w:abstractNumId w:val="11"/>
  </w:num>
  <w:num w:numId="18" w16cid:durableId="987053139">
    <w:abstractNumId w:val="4"/>
  </w:num>
  <w:num w:numId="19" w16cid:durableId="1537237940">
    <w:abstractNumId w:val="18"/>
  </w:num>
  <w:num w:numId="20" w16cid:durableId="416755572">
    <w:abstractNumId w:val="14"/>
  </w:num>
  <w:num w:numId="21" w16cid:durableId="1827043326">
    <w:abstractNumId w:val="7"/>
  </w:num>
  <w:num w:numId="22" w16cid:durableId="1417894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1C6A"/>
    <w:rsid w:val="00024749"/>
    <w:rsid w:val="00024F7C"/>
    <w:rsid w:val="00035C75"/>
    <w:rsid w:val="0004053B"/>
    <w:rsid w:val="0004414A"/>
    <w:rsid w:val="00046FE2"/>
    <w:rsid w:val="00070D06"/>
    <w:rsid w:val="00076F9A"/>
    <w:rsid w:val="00087631"/>
    <w:rsid w:val="000877BA"/>
    <w:rsid w:val="000A0C1D"/>
    <w:rsid w:val="000B43CF"/>
    <w:rsid w:val="000C3BA1"/>
    <w:rsid w:val="000C5A09"/>
    <w:rsid w:val="000C6B08"/>
    <w:rsid w:val="000C7A2D"/>
    <w:rsid w:val="00121176"/>
    <w:rsid w:val="001420DD"/>
    <w:rsid w:val="0015099B"/>
    <w:rsid w:val="001527E0"/>
    <w:rsid w:val="00176C8A"/>
    <w:rsid w:val="00183BA0"/>
    <w:rsid w:val="001B138E"/>
    <w:rsid w:val="001D5A9B"/>
    <w:rsid w:val="001E764A"/>
    <w:rsid w:val="001F6DF3"/>
    <w:rsid w:val="00206511"/>
    <w:rsid w:val="00206BEA"/>
    <w:rsid w:val="002374E0"/>
    <w:rsid w:val="00246364"/>
    <w:rsid w:val="00246A47"/>
    <w:rsid w:val="00262DBA"/>
    <w:rsid w:val="0026426F"/>
    <w:rsid w:val="00267351"/>
    <w:rsid w:val="00296ACA"/>
    <w:rsid w:val="002B7F1E"/>
    <w:rsid w:val="002E409B"/>
    <w:rsid w:val="003058A6"/>
    <w:rsid w:val="00327C7D"/>
    <w:rsid w:val="00331BD5"/>
    <w:rsid w:val="00346E9A"/>
    <w:rsid w:val="00355A75"/>
    <w:rsid w:val="00357E03"/>
    <w:rsid w:val="00382E8B"/>
    <w:rsid w:val="00384591"/>
    <w:rsid w:val="003B1CAC"/>
    <w:rsid w:val="003C0113"/>
    <w:rsid w:val="003C742E"/>
    <w:rsid w:val="003D2558"/>
    <w:rsid w:val="00406D39"/>
    <w:rsid w:val="00406F24"/>
    <w:rsid w:val="0041014A"/>
    <w:rsid w:val="004130F1"/>
    <w:rsid w:val="004152D5"/>
    <w:rsid w:val="00416B8E"/>
    <w:rsid w:val="004237B3"/>
    <w:rsid w:val="00425828"/>
    <w:rsid w:val="0044432F"/>
    <w:rsid w:val="004549B4"/>
    <w:rsid w:val="00461ECB"/>
    <w:rsid w:val="004712F0"/>
    <w:rsid w:val="004A4074"/>
    <w:rsid w:val="004A76F5"/>
    <w:rsid w:val="004C4897"/>
    <w:rsid w:val="004D503E"/>
    <w:rsid w:val="004E3778"/>
    <w:rsid w:val="004F6BD6"/>
    <w:rsid w:val="00500E39"/>
    <w:rsid w:val="0051027F"/>
    <w:rsid w:val="00523034"/>
    <w:rsid w:val="00530FA9"/>
    <w:rsid w:val="00552F44"/>
    <w:rsid w:val="0056385B"/>
    <w:rsid w:val="0057039E"/>
    <w:rsid w:val="005734B9"/>
    <w:rsid w:val="005B586C"/>
    <w:rsid w:val="005C6BB9"/>
    <w:rsid w:val="005D12E6"/>
    <w:rsid w:val="005E3EA7"/>
    <w:rsid w:val="005F7189"/>
    <w:rsid w:val="0061467C"/>
    <w:rsid w:val="006255E1"/>
    <w:rsid w:val="00634AB0"/>
    <w:rsid w:val="006363F0"/>
    <w:rsid w:val="00636812"/>
    <w:rsid w:val="00692FEC"/>
    <w:rsid w:val="0069414A"/>
    <w:rsid w:val="006B567E"/>
    <w:rsid w:val="006B7EE1"/>
    <w:rsid w:val="006C726C"/>
    <w:rsid w:val="006C7D41"/>
    <w:rsid w:val="006D0ABB"/>
    <w:rsid w:val="006F15D8"/>
    <w:rsid w:val="006F2D7B"/>
    <w:rsid w:val="0072482C"/>
    <w:rsid w:val="007510AD"/>
    <w:rsid w:val="00764B07"/>
    <w:rsid w:val="0077311F"/>
    <w:rsid w:val="00776282"/>
    <w:rsid w:val="00782D7B"/>
    <w:rsid w:val="00783A0E"/>
    <w:rsid w:val="00787DBB"/>
    <w:rsid w:val="007913BF"/>
    <w:rsid w:val="00793075"/>
    <w:rsid w:val="00794790"/>
    <w:rsid w:val="007B312E"/>
    <w:rsid w:val="007C0870"/>
    <w:rsid w:val="007C35CF"/>
    <w:rsid w:val="007D1116"/>
    <w:rsid w:val="007E1598"/>
    <w:rsid w:val="007E5BEC"/>
    <w:rsid w:val="007F622D"/>
    <w:rsid w:val="007F69C7"/>
    <w:rsid w:val="00803D73"/>
    <w:rsid w:val="008333F8"/>
    <w:rsid w:val="00836EE8"/>
    <w:rsid w:val="00854AC4"/>
    <w:rsid w:val="008565EC"/>
    <w:rsid w:val="00873252"/>
    <w:rsid w:val="00873290"/>
    <w:rsid w:val="0088199B"/>
    <w:rsid w:val="008927DB"/>
    <w:rsid w:val="0089288F"/>
    <w:rsid w:val="00894E62"/>
    <w:rsid w:val="008D3DF0"/>
    <w:rsid w:val="008E2CAC"/>
    <w:rsid w:val="008E389E"/>
    <w:rsid w:val="008E4C27"/>
    <w:rsid w:val="00907617"/>
    <w:rsid w:val="00912D5F"/>
    <w:rsid w:val="0091423A"/>
    <w:rsid w:val="0093351D"/>
    <w:rsid w:val="00935142"/>
    <w:rsid w:val="0096125E"/>
    <w:rsid w:val="009644BF"/>
    <w:rsid w:val="0096798E"/>
    <w:rsid w:val="00990A5F"/>
    <w:rsid w:val="0099432B"/>
    <w:rsid w:val="009A7AAB"/>
    <w:rsid w:val="009B2C63"/>
    <w:rsid w:val="00A21384"/>
    <w:rsid w:val="00A60E8E"/>
    <w:rsid w:val="00A66170"/>
    <w:rsid w:val="00A73729"/>
    <w:rsid w:val="00A75C94"/>
    <w:rsid w:val="00A94A2E"/>
    <w:rsid w:val="00AB2248"/>
    <w:rsid w:val="00AB2987"/>
    <w:rsid w:val="00AC0548"/>
    <w:rsid w:val="00AC7955"/>
    <w:rsid w:val="00AD17D0"/>
    <w:rsid w:val="00AE5625"/>
    <w:rsid w:val="00B01DCF"/>
    <w:rsid w:val="00B2460C"/>
    <w:rsid w:val="00B27D84"/>
    <w:rsid w:val="00B34421"/>
    <w:rsid w:val="00B54907"/>
    <w:rsid w:val="00B653A2"/>
    <w:rsid w:val="00B71420"/>
    <w:rsid w:val="00B91B5C"/>
    <w:rsid w:val="00B95489"/>
    <w:rsid w:val="00B95E6F"/>
    <w:rsid w:val="00BA6489"/>
    <w:rsid w:val="00BC37AC"/>
    <w:rsid w:val="00BC5A69"/>
    <w:rsid w:val="00BD2248"/>
    <w:rsid w:val="00BD5AB6"/>
    <w:rsid w:val="00BE5822"/>
    <w:rsid w:val="00BF5B3B"/>
    <w:rsid w:val="00C0229B"/>
    <w:rsid w:val="00C03D08"/>
    <w:rsid w:val="00C075F4"/>
    <w:rsid w:val="00C2084A"/>
    <w:rsid w:val="00C2595E"/>
    <w:rsid w:val="00C261E6"/>
    <w:rsid w:val="00C35C46"/>
    <w:rsid w:val="00C56277"/>
    <w:rsid w:val="00C5682A"/>
    <w:rsid w:val="00C77D73"/>
    <w:rsid w:val="00C834C9"/>
    <w:rsid w:val="00C90D6E"/>
    <w:rsid w:val="00CA4263"/>
    <w:rsid w:val="00CA621E"/>
    <w:rsid w:val="00CC7679"/>
    <w:rsid w:val="00CE1007"/>
    <w:rsid w:val="00CF0B7F"/>
    <w:rsid w:val="00CF2522"/>
    <w:rsid w:val="00CF490F"/>
    <w:rsid w:val="00D06CE2"/>
    <w:rsid w:val="00D132B8"/>
    <w:rsid w:val="00D14202"/>
    <w:rsid w:val="00D258BC"/>
    <w:rsid w:val="00D40F08"/>
    <w:rsid w:val="00D43CB3"/>
    <w:rsid w:val="00D560DC"/>
    <w:rsid w:val="00D70791"/>
    <w:rsid w:val="00D949D6"/>
    <w:rsid w:val="00DA48C2"/>
    <w:rsid w:val="00DB05F0"/>
    <w:rsid w:val="00DB2E68"/>
    <w:rsid w:val="00DC20FA"/>
    <w:rsid w:val="00DE19B1"/>
    <w:rsid w:val="00E14CCB"/>
    <w:rsid w:val="00E22779"/>
    <w:rsid w:val="00E350BA"/>
    <w:rsid w:val="00E35D68"/>
    <w:rsid w:val="00E36787"/>
    <w:rsid w:val="00E42D71"/>
    <w:rsid w:val="00E71ACA"/>
    <w:rsid w:val="00E836F9"/>
    <w:rsid w:val="00E84C58"/>
    <w:rsid w:val="00E963C8"/>
    <w:rsid w:val="00EA01DF"/>
    <w:rsid w:val="00EC1F3D"/>
    <w:rsid w:val="00EC55EE"/>
    <w:rsid w:val="00ED2B68"/>
    <w:rsid w:val="00F13470"/>
    <w:rsid w:val="00F270BE"/>
    <w:rsid w:val="00F27759"/>
    <w:rsid w:val="00F41A50"/>
    <w:rsid w:val="00F41DFD"/>
    <w:rsid w:val="00F57CA6"/>
    <w:rsid w:val="00F63C83"/>
    <w:rsid w:val="00F76B78"/>
    <w:rsid w:val="00FA408B"/>
    <w:rsid w:val="00FD5136"/>
    <w:rsid w:val="00FE4C3F"/>
    <w:rsid w:val="00FE789D"/>
    <w:rsid w:val="00FF3C6B"/>
    <w:rsid w:val="1CEEC284"/>
    <w:rsid w:val="4B912CE5"/>
    <w:rsid w:val="57DF0A69"/>
    <w:rsid w:val="5A8CE91A"/>
    <w:rsid w:val="6A4E4F6E"/>
    <w:rsid w:val="6AAF4FD0"/>
    <w:rsid w:val="74196BDC"/>
    <w:rsid w:val="7540FD09"/>
    <w:rsid w:val="7B5E0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customStyle="1" w:styleId="UnresolvedMention2">
    <w:name w:val="Unresolved Mention2"/>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UnresolvedMention3">
    <w:name w:val="Unresolved Mention3"/>
    <w:basedOn w:val="DefaultParagraphFont"/>
    <w:uiPriority w:val="99"/>
    <w:semiHidden/>
    <w:unhideWhenUsed/>
    <w:rsid w:val="00001C6A"/>
    <w:rPr>
      <w:color w:val="605E5C"/>
      <w:shd w:val="clear" w:color="auto" w:fill="E1DFDD"/>
    </w:rPr>
  </w:style>
  <w:style w:type="character" w:styleId="UnresolvedMention">
    <w:name w:val="Unresolved Mention"/>
    <w:basedOn w:val="DefaultParagraphFont"/>
    <w:uiPriority w:val="99"/>
    <w:semiHidden/>
    <w:unhideWhenUsed/>
    <w:rsid w:val="00782D7B"/>
    <w:rPr>
      <w:color w:val="605E5C"/>
      <w:shd w:val="clear" w:color="auto" w:fill="E1DFDD"/>
    </w:rPr>
  </w:style>
  <w:style w:type="paragraph" w:customStyle="1" w:styleId="paragraph">
    <w:name w:val="paragraph"/>
    <w:basedOn w:val="Normal"/>
    <w:rsid w:val="001D5A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D5A9B"/>
  </w:style>
  <w:style w:type="character" w:customStyle="1" w:styleId="eop">
    <w:name w:val="eop"/>
    <w:basedOn w:val="DefaultParagraphFont"/>
    <w:rsid w:val="001D5A9B"/>
  </w:style>
  <w:style w:type="character" w:customStyle="1" w:styleId="spellingerror">
    <w:name w:val="spellingerror"/>
    <w:basedOn w:val="DefaultParagraphFont"/>
    <w:rsid w:val="001D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4373">
      <w:bodyDiv w:val="1"/>
      <w:marLeft w:val="0"/>
      <w:marRight w:val="0"/>
      <w:marTop w:val="0"/>
      <w:marBottom w:val="0"/>
      <w:divBdr>
        <w:top w:val="none" w:sz="0" w:space="0" w:color="auto"/>
        <w:left w:val="none" w:sz="0" w:space="0" w:color="auto"/>
        <w:bottom w:val="none" w:sz="0" w:space="0" w:color="auto"/>
        <w:right w:val="none" w:sz="0" w:space="0" w:color="auto"/>
      </w:divBdr>
    </w:div>
    <w:div w:id="108281156">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84120697">
      <w:bodyDiv w:val="1"/>
      <w:marLeft w:val="0"/>
      <w:marRight w:val="0"/>
      <w:marTop w:val="0"/>
      <w:marBottom w:val="0"/>
      <w:divBdr>
        <w:top w:val="none" w:sz="0" w:space="0" w:color="auto"/>
        <w:left w:val="none" w:sz="0" w:space="0" w:color="auto"/>
        <w:bottom w:val="none" w:sz="0" w:space="0" w:color="auto"/>
        <w:right w:val="none" w:sz="0" w:space="0" w:color="auto"/>
      </w:divBdr>
    </w:div>
    <w:div w:id="774327173">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06742077">
      <w:bodyDiv w:val="1"/>
      <w:marLeft w:val="0"/>
      <w:marRight w:val="0"/>
      <w:marTop w:val="0"/>
      <w:marBottom w:val="0"/>
      <w:divBdr>
        <w:top w:val="none" w:sz="0" w:space="0" w:color="auto"/>
        <w:left w:val="none" w:sz="0" w:space="0" w:color="auto"/>
        <w:bottom w:val="none" w:sz="0" w:space="0" w:color="auto"/>
        <w:right w:val="none" w:sz="0" w:space="0" w:color="auto"/>
      </w:divBdr>
    </w:div>
    <w:div w:id="1337920915">
      <w:bodyDiv w:val="1"/>
      <w:marLeft w:val="0"/>
      <w:marRight w:val="0"/>
      <w:marTop w:val="0"/>
      <w:marBottom w:val="0"/>
      <w:divBdr>
        <w:top w:val="none" w:sz="0" w:space="0" w:color="auto"/>
        <w:left w:val="none" w:sz="0" w:space="0" w:color="auto"/>
        <w:bottom w:val="none" w:sz="0" w:space="0" w:color="auto"/>
        <w:right w:val="none" w:sz="0" w:space="0" w:color="auto"/>
      </w:divBdr>
    </w:div>
    <w:div w:id="1341196753">
      <w:bodyDiv w:val="1"/>
      <w:marLeft w:val="0"/>
      <w:marRight w:val="0"/>
      <w:marTop w:val="0"/>
      <w:marBottom w:val="0"/>
      <w:divBdr>
        <w:top w:val="none" w:sz="0" w:space="0" w:color="auto"/>
        <w:left w:val="none" w:sz="0" w:space="0" w:color="auto"/>
        <w:bottom w:val="none" w:sz="0" w:space="0" w:color="auto"/>
        <w:right w:val="none" w:sz="0" w:space="0" w:color="auto"/>
      </w:divBdr>
      <w:divsChild>
        <w:div w:id="704018381">
          <w:marLeft w:val="0"/>
          <w:marRight w:val="0"/>
          <w:marTop w:val="0"/>
          <w:marBottom w:val="0"/>
          <w:divBdr>
            <w:top w:val="none" w:sz="0" w:space="0" w:color="auto"/>
            <w:left w:val="none" w:sz="0" w:space="0" w:color="auto"/>
            <w:bottom w:val="none" w:sz="0" w:space="0" w:color="auto"/>
            <w:right w:val="none" w:sz="0" w:space="0" w:color="auto"/>
          </w:divBdr>
        </w:div>
        <w:div w:id="651449669">
          <w:marLeft w:val="0"/>
          <w:marRight w:val="0"/>
          <w:marTop w:val="0"/>
          <w:marBottom w:val="0"/>
          <w:divBdr>
            <w:top w:val="none" w:sz="0" w:space="0" w:color="auto"/>
            <w:left w:val="none" w:sz="0" w:space="0" w:color="auto"/>
            <w:bottom w:val="none" w:sz="0" w:space="0" w:color="auto"/>
            <w:right w:val="none" w:sz="0" w:space="0" w:color="auto"/>
          </w:divBdr>
        </w:div>
        <w:div w:id="1205563985">
          <w:marLeft w:val="0"/>
          <w:marRight w:val="0"/>
          <w:marTop w:val="0"/>
          <w:marBottom w:val="0"/>
          <w:divBdr>
            <w:top w:val="none" w:sz="0" w:space="0" w:color="auto"/>
            <w:left w:val="none" w:sz="0" w:space="0" w:color="auto"/>
            <w:bottom w:val="none" w:sz="0" w:space="0" w:color="auto"/>
            <w:right w:val="none" w:sz="0" w:space="0" w:color="auto"/>
          </w:divBdr>
        </w:div>
        <w:div w:id="769855720">
          <w:marLeft w:val="0"/>
          <w:marRight w:val="0"/>
          <w:marTop w:val="0"/>
          <w:marBottom w:val="0"/>
          <w:divBdr>
            <w:top w:val="none" w:sz="0" w:space="0" w:color="auto"/>
            <w:left w:val="none" w:sz="0" w:space="0" w:color="auto"/>
            <w:bottom w:val="none" w:sz="0" w:space="0" w:color="auto"/>
            <w:right w:val="none" w:sz="0" w:space="0" w:color="auto"/>
          </w:divBdr>
        </w:div>
        <w:div w:id="721366599">
          <w:marLeft w:val="0"/>
          <w:marRight w:val="0"/>
          <w:marTop w:val="0"/>
          <w:marBottom w:val="0"/>
          <w:divBdr>
            <w:top w:val="none" w:sz="0" w:space="0" w:color="auto"/>
            <w:left w:val="none" w:sz="0" w:space="0" w:color="auto"/>
            <w:bottom w:val="none" w:sz="0" w:space="0" w:color="auto"/>
            <w:right w:val="none" w:sz="0" w:space="0" w:color="auto"/>
          </w:divBdr>
        </w:div>
        <w:div w:id="1893542459">
          <w:marLeft w:val="0"/>
          <w:marRight w:val="0"/>
          <w:marTop w:val="0"/>
          <w:marBottom w:val="0"/>
          <w:divBdr>
            <w:top w:val="none" w:sz="0" w:space="0" w:color="auto"/>
            <w:left w:val="none" w:sz="0" w:space="0" w:color="auto"/>
            <w:bottom w:val="none" w:sz="0" w:space="0" w:color="auto"/>
            <w:right w:val="none" w:sz="0" w:space="0" w:color="auto"/>
          </w:divBdr>
        </w:div>
        <w:div w:id="788813519">
          <w:marLeft w:val="0"/>
          <w:marRight w:val="0"/>
          <w:marTop w:val="0"/>
          <w:marBottom w:val="0"/>
          <w:divBdr>
            <w:top w:val="none" w:sz="0" w:space="0" w:color="auto"/>
            <w:left w:val="none" w:sz="0" w:space="0" w:color="auto"/>
            <w:bottom w:val="none" w:sz="0" w:space="0" w:color="auto"/>
            <w:right w:val="none" w:sz="0" w:space="0" w:color="auto"/>
          </w:divBdr>
        </w:div>
        <w:div w:id="1785687792">
          <w:marLeft w:val="0"/>
          <w:marRight w:val="0"/>
          <w:marTop w:val="0"/>
          <w:marBottom w:val="0"/>
          <w:divBdr>
            <w:top w:val="none" w:sz="0" w:space="0" w:color="auto"/>
            <w:left w:val="none" w:sz="0" w:space="0" w:color="auto"/>
            <w:bottom w:val="none" w:sz="0" w:space="0" w:color="auto"/>
            <w:right w:val="none" w:sz="0" w:space="0" w:color="auto"/>
          </w:divBdr>
        </w:div>
        <w:div w:id="681052535">
          <w:marLeft w:val="0"/>
          <w:marRight w:val="0"/>
          <w:marTop w:val="0"/>
          <w:marBottom w:val="0"/>
          <w:divBdr>
            <w:top w:val="none" w:sz="0" w:space="0" w:color="auto"/>
            <w:left w:val="none" w:sz="0" w:space="0" w:color="auto"/>
            <w:bottom w:val="none" w:sz="0" w:space="0" w:color="auto"/>
            <w:right w:val="none" w:sz="0" w:space="0" w:color="auto"/>
          </w:divBdr>
        </w:div>
        <w:div w:id="437263030">
          <w:marLeft w:val="0"/>
          <w:marRight w:val="0"/>
          <w:marTop w:val="0"/>
          <w:marBottom w:val="0"/>
          <w:divBdr>
            <w:top w:val="none" w:sz="0" w:space="0" w:color="auto"/>
            <w:left w:val="none" w:sz="0" w:space="0" w:color="auto"/>
            <w:bottom w:val="none" w:sz="0" w:space="0" w:color="auto"/>
            <w:right w:val="none" w:sz="0" w:space="0" w:color="auto"/>
          </w:divBdr>
        </w:div>
        <w:div w:id="1511409165">
          <w:marLeft w:val="0"/>
          <w:marRight w:val="0"/>
          <w:marTop w:val="0"/>
          <w:marBottom w:val="0"/>
          <w:divBdr>
            <w:top w:val="none" w:sz="0" w:space="0" w:color="auto"/>
            <w:left w:val="none" w:sz="0" w:space="0" w:color="auto"/>
            <w:bottom w:val="none" w:sz="0" w:space="0" w:color="auto"/>
            <w:right w:val="none" w:sz="0" w:space="0" w:color="auto"/>
          </w:divBdr>
        </w:div>
        <w:div w:id="74017311">
          <w:marLeft w:val="0"/>
          <w:marRight w:val="0"/>
          <w:marTop w:val="0"/>
          <w:marBottom w:val="0"/>
          <w:divBdr>
            <w:top w:val="none" w:sz="0" w:space="0" w:color="auto"/>
            <w:left w:val="none" w:sz="0" w:space="0" w:color="auto"/>
            <w:bottom w:val="none" w:sz="0" w:space="0" w:color="auto"/>
            <w:right w:val="none" w:sz="0" w:space="0" w:color="auto"/>
          </w:divBdr>
        </w:div>
        <w:div w:id="1222443635">
          <w:marLeft w:val="0"/>
          <w:marRight w:val="0"/>
          <w:marTop w:val="0"/>
          <w:marBottom w:val="0"/>
          <w:divBdr>
            <w:top w:val="none" w:sz="0" w:space="0" w:color="auto"/>
            <w:left w:val="none" w:sz="0" w:space="0" w:color="auto"/>
            <w:bottom w:val="none" w:sz="0" w:space="0" w:color="auto"/>
            <w:right w:val="none" w:sz="0" w:space="0" w:color="auto"/>
          </w:divBdr>
        </w:div>
        <w:div w:id="2110538867">
          <w:marLeft w:val="0"/>
          <w:marRight w:val="0"/>
          <w:marTop w:val="0"/>
          <w:marBottom w:val="0"/>
          <w:divBdr>
            <w:top w:val="none" w:sz="0" w:space="0" w:color="auto"/>
            <w:left w:val="none" w:sz="0" w:space="0" w:color="auto"/>
            <w:bottom w:val="none" w:sz="0" w:space="0" w:color="auto"/>
            <w:right w:val="none" w:sz="0" w:space="0" w:color="auto"/>
          </w:divBdr>
        </w:div>
        <w:div w:id="313224616">
          <w:marLeft w:val="0"/>
          <w:marRight w:val="0"/>
          <w:marTop w:val="0"/>
          <w:marBottom w:val="0"/>
          <w:divBdr>
            <w:top w:val="none" w:sz="0" w:space="0" w:color="auto"/>
            <w:left w:val="none" w:sz="0" w:space="0" w:color="auto"/>
            <w:bottom w:val="none" w:sz="0" w:space="0" w:color="auto"/>
            <w:right w:val="none" w:sz="0" w:space="0" w:color="auto"/>
          </w:divBdr>
        </w:div>
        <w:div w:id="2091273143">
          <w:marLeft w:val="0"/>
          <w:marRight w:val="0"/>
          <w:marTop w:val="0"/>
          <w:marBottom w:val="0"/>
          <w:divBdr>
            <w:top w:val="none" w:sz="0" w:space="0" w:color="auto"/>
            <w:left w:val="none" w:sz="0" w:space="0" w:color="auto"/>
            <w:bottom w:val="none" w:sz="0" w:space="0" w:color="auto"/>
            <w:right w:val="none" w:sz="0" w:space="0" w:color="auto"/>
          </w:divBdr>
        </w:div>
        <w:div w:id="1143813559">
          <w:marLeft w:val="0"/>
          <w:marRight w:val="0"/>
          <w:marTop w:val="0"/>
          <w:marBottom w:val="0"/>
          <w:divBdr>
            <w:top w:val="none" w:sz="0" w:space="0" w:color="auto"/>
            <w:left w:val="none" w:sz="0" w:space="0" w:color="auto"/>
            <w:bottom w:val="none" w:sz="0" w:space="0" w:color="auto"/>
            <w:right w:val="none" w:sz="0" w:space="0" w:color="auto"/>
          </w:divBdr>
        </w:div>
        <w:div w:id="1425421135">
          <w:marLeft w:val="0"/>
          <w:marRight w:val="0"/>
          <w:marTop w:val="0"/>
          <w:marBottom w:val="0"/>
          <w:divBdr>
            <w:top w:val="none" w:sz="0" w:space="0" w:color="auto"/>
            <w:left w:val="none" w:sz="0" w:space="0" w:color="auto"/>
            <w:bottom w:val="none" w:sz="0" w:space="0" w:color="auto"/>
            <w:right w:val="none" w:sz="0" w:space="0" w:color="auto"/>
          </w:divBdr>
        </w:div>
        <w:div w:id="1720930765">
          <w:marLeft w:val="0"/>
          <w:marRight w:val="0"/>
          <w:marTop w:val="0"/>
          <w:marBottom w:val="0"/>
          <w:divBdr>
            <w:top w:val="none" w:sz="0" w:space="0" w:color="auto"/>
            <w:left w:val="none" w:sz="0" w:space="0" w:color="auto"/>
            <w:bottom w:val="none" w:sz="0" w:space="0" w:color="auto"/>
            <w:right w:val="none" w:sz="0" w:space="0" w:color="auto"/>
          </w:divBdr>
        </w:div>
        <w:div w:id="1351951198">
          <w:marLeft w:val="0"/>
          <w:marRight w:val="0"/>
          <w:marTop w:val="0"/>
          <w:marBottom w:val="0"/>
          <w:divBdr>
            <w:top w:val="none" w:sz="0" w:space="0" w:color="auto"/>
            <w:left w:val="none" w:sz="0" w:space="0" w:color="auto"/>
            <w:bottom w:val="none" w:sz="0" w:space="0" w:color="auto"/>
            <w:right w:val="none" w:sz="0" w:space="0" w:color="auto"/>
          </w:divBdr>
        </w:div>
        <w:div w:id="1373581637">
          <w:marLeft w:val="0"/>
          <w:marRight w:val="0"/>
          <w:marTop w:val="0"/>
          <w:marBottom w:val="0"/>
          <w:divBdr>
            <w:top w:val="none" w:sz="0" w:space="0" w:color="auto"/>
            <w:left w:val="none" w:sz="0" w:space="0" w:color="auto"/>
            <w:bottom w:val="none" w:sz="0" w:space="0" w:color="auto"/>
            <w:right w:val="none" w:sz="0" w:space="0" w:color="auto"/>
          </w:divBdr>
        </w:div>
        <w:div w:id="1286306253">
          <w:marLeft w:val="0"/>
          <w:marRight w:val="0"/>
          <w:marTop w:val="0"/>
          <w:marBottom w:val="0"/>
          <w:divBdr>
            <w:top w:val="none" w:sz="0" w:space="0" w:color="auto"/>
            <w:left w:val="none" w:sz="0" w:space="0" w:color="auto"/>
            <w:bottom w:val="none" w:sz="0" w:space="0" w:color="auto"/>
            <w:right w:val="none" w:sz="0" w:space="0" w:color="auto"/>
          </w:divBdr>
        </w:div>
        <w:div w:id="1266377193">
          <w:marLeft w:val="0"/>
          <w:marRight w:val="0"/>
          <w:marTop w:val="0"/>
          <w:marBottom w:val="0"/>
          <w:divBdr>
            <w:top w:val="none" w:sz="0" w:space="0" w:color="auto"/>
            <w:left w:val="none" w:sz="0" w:space="0" w:color="auto"/>
            <w:bottom w:val="none" w:sz="0" w:space="0" w:color="auto"/>
            <w:right w:val="none" w:sz="0" w:space="0" w:color="auto"/>
          </w:divBdr>
        </w:div>
        <w:div w:id="1216741484">
          <w:marLeft w:val="0"/>
          <w:marRight w:val="0"/>
          <w:marTop w:val="0"/>
          <w:marBottom w:val="0"/>
          <w:divBdr>
            <w:top w:val="none" w:sz="0" w:space="0" w:color="auto"/>
            <w:left w:val="none" w:sz="0" w:space="0" w:color="auto"/>
            <w:bottom w:val="none" w:sz="0" w:space="0" w:color="auto"/>
            <w:right w:val="none" w:sz="0" w:space="0" w:color="auto"/>
          </w:divBdr>
        </w:div>
        <w:div w:id="1228304377">
          <w:marLeft w:val="0"/>
          <w:marRight w:val="0"/>
          <w:marTop w:val="0"/>
          <w:marBottom w:val="0"/>
          <w:divBdr>
            <w:top w:val="none" w:sz="0" w:space="0" w:color="auto"/>
            <w:left w:val="none" w:sz="0" w:space="0" w:color="auto"/>
            <w:bottom w:val="none" w:sz="0" w:space="0" w:color="auto"/>
            <w:right w:val="none" w:sz="0" w:space="0" w:color="auto"/>
          </w:divBdr>
        </w:div>
        <w:div w:id="1597859382">
          <w:marLeft w:val="0"/>
          <w:marRight w:val="0"/>
          <w:marTop w:val="0"/>
          <w:marBottom w:val="0"/>
          <w:divBdr>
            <w:top w:val="none" w:sz="0" w:space="0" w:color="auto"/>
            <w:left w:val="none" w:sz="0" w:space="0" w:color="auto"/>
            <w:bottom w:val="none" w:sz="0" w:space="0" w:color="auto"/>
            <w:right w:val="none" w:sz="0" w:space="0" w:color="auto"/>
          </w:divBdr>
        </w:div>
        <w:div w:id="1489515075">
          <w:marLeft w:val="0"/>
          <w:marRight w:val="0"/>
          <w:marTop w:val="0"/>
          <w:marBottom w:val="0"/>
          <w:divBdr>
            <w:top w:val="none" w:sz="0" w:space="0" w:color="auto"/>
            <w:left w:val="none" w:sz="0" w:space="0" w:color="auto"/>
            <w:bottom w:val="none" w:sz="0" w:space="0" w:color="auto"/>
            <w:right w:val="none" w:sz="0" w:space="0" w:color="auto"/>
          </w:divBdr>
        </w:div>
        <w:div w:id="1450464988">
          <w:marLeft w:val="0"/>
          <w:marRight w:val="0"/>
          <w:marTop w:val="0"/>
          <w:marBottom w:val="0"/>
          <w:divBdr>
            <w:top w:val="none" w:sz="0" w:space="0" w:color="auto"/>
            <w:left w:val="none" w:sz="0" w:space="0" w:color="auto"/>
            <w:bottom w:val="none" w:sz="0" w:space="0" w:color="auto"/>
            <w:right w:val="none" w:sz="0" w:space="0" w:color="auto"/>
          </w:divBdr>
        </w:div>
        <w:div w:id="1611667669">
          <w:marLeft w:val="0"/>
          <w:marRight w:val="0"/>
          <w:marTop w:val="0"/>
          <w:marBottom w:val="0"/>
          <w:divBdr>
            <w:top w:val="none" w:sz="0" w:space="0" w:color="auto"/>
            <w:left w:val="none" w:sz="0" w:space="0" w:color="auto"/>
            <w:bottom w:val="none" w:sz="0" w:space="0" w:color="auto"/>
            <w:right w:val="none" w:sz="0" w:space="0" w:color="auto"/>
          </w:divBdr>
        </w:div>
        <w:div w:id="1015113622">
          <w:marLeft w:val="0"/>
          <w:marRight w:val="0"/>
          <w:marTop w:val="0"/>
          <w:marBottom w:val="0"/>
          <w:divBdr>
            <w:top w:val="none" w:sz="0" w:space="0" w:color="auto"/>
            <w:left w:val="none" w:sz="0" w:space="0" w:color="auto"/>
            <w:bottom w:val="none" w:sz="0" w:space="0" w:color="auto"/>
            <w:right w:val="none" w:sz="0" w:space="0" w:color="auto"/>
          </w:divBdr>
        </w:div>
        <w:div w:id="452291637">
          <w:marLeft w:val="0"/>
          <w:marRight w:val="0"/>
          <w:marTop w:val="0"/>
          <w:marBottom w:val="0"/>
          <w:divBdr>
            <w:top w:val="none" w:sz="0" w:space="0" w:color="auto"/>
            <w:left w:val="none" w:sz="0" w:space="0" w:color="auto"/>
            <w:bottom w:val="none" w:sz="0" w:space="0" w:color="auto"/>
            <w:right w:val="none" w:sz="0" w:space="0" w:color="auto"/>
          </w:divBdr>
        </w:div>
        <w:div w:id="1535461383">
          <w:marLeft w:val="0"/>
          <w:marRight w:val="0"/>
          <w:marTop w:val="0"/>
          <w:marBottom w:val="0"/>
          <w:divBdr>
            <w:top w:val="none" w:sz="0" w:space="0" w:color="auto"/>
            <w:left w:val="none" w:sz="0" w:space="0" w:color="auto"/>
            <w:bottom w:val="none" w:sz="0" w:space="0" w:color="auto"/>
            <w:right w:val="none" w:sz="0" w:space="0" w:color="auto"/>
          </w:divBdr>
        </w:div>
        <w:div w:id="1285891533">
          <w:marLeft w:val="0"/>
          <w:marRight w:val="0"/>
          <w:marTop w:val="0"/>
          <w:marBottom w:val="0"/>
          <w:divBdr>
            <w:top w:val="none" w:sz="0" w:space="0" w:color="auto"/>
            <w:left w:val="none" w:sz="0" w:space="0" w:color="auto"/>
            <w:bottom w:val="none" w:sz="0" w:space="0" w:color="auto"/>
            <w:right w:val="none" w:sz="0" w:space="0" w:color="auto"/>
          </w:divBdr>
        </w:div>
        <w:div w:id="820390283">
          <w:marLeft w:val="0"/>
          <w:marRight w:val="0"/>
          <w:marTop w:val="0"/>
          <w:marBottom w:val="0"/>
          <w:divBdr>
            <w:top w:val="none" w:sz="0" w:space="0" w:color="auto"/>
            <w:left w:val="none" w:sz="0" w:space="0" w:color="auto"/>
            <w:bottom w:val="none" w:sz="0" w:space="0" w:color="auto"/>
            <w:right w:val="none" w:sz="0" w:space="0" w:color="auto"/>
          </w:divBdr>
        </w:div>
        <w:div w:id="1506214368">
          <w:marLeft w:val="0"/>
          <w:marRight w:val="0"/>
          <w:marTop w:val="0"/>
          <w:marBottom w:val="0"/>
          <w:divBdr>
            <w:top w:val="none" w:sz="0" w:space="0" w:color="auto"/>
            <w:left w:val="none" w:sz="0" w:space="0" w:color="auto"/>
            <w:bottom w:val="none" w:sz="0" w:space="0" w:color="auto"/>
            <w:right w:val="none" w:sz="0" w:space="0" w:color="auto"/>
          </w:divBdr>
        </w:div>
        <w:div w:id="1836989799">
          <w:marLeft w:val="0"/>
          <w:marRight w:val="0"/>
          <w:marTop w:val="0"/>
          <w:marBottom w:val="0"/>
          <w:divBdr>
            <w:top w:val="none" w:sz="0" w:space="0" w:color="auto"/>
            <w:left w:val="none" w:sz="0" w:space="0" w:color="auto"/>
            <w:bottom w:val="none" w:sz="0" w:space="0" w:color="auto"/>
            <w:right w:val="none" w:sz="0" w:space="0" w:color="auto"/>
          </w:divBdr>
        </w:div>
        <w:div w:id="734623327">
          <w:marLeft w:val="0"/>
          <w:marRight w:val="0"/>
          <w:marTop w:val="0"/>
          <w:marBottom w:val="0"/>
          <w:divBdr>
            <w:top w:val="none" w:sz="0" w:space="0" w:color="auto"/>
            <w:left w:val="none" w:sz="0" w:space="0" w:color="auto"/>
            <w:bottom w:val="none" w:sz="0" w:space="0" w:color="auto"/>
            <w:right w:val="none" w:sz="0" w:space="0" w:color="auto"/>
          </w:divBdr>
        </w:div>
        <w:div w:id="948394682">
          <w:marLeft w:val="0"/>
          <w:marRight w:val="0"/>
          <w:marTop w:val="0"/>
          <w:marBottom w:val="0"/>
          <w:divBdr>
            <w:top w:val="none" w:sz="0" w:space="0" w:color="auto"/>
            <w:left w:val="none" w:sz="0" w:space="0" w:color="auto"/>
            <w:bottom w:val="none" w:sz="0" w:space="0" w:color="auto"/>
            <w:right w:val="none" w:sz="0" w:space="0" w:color="auto"/>
          </w:divBdr>
        </w:div>
        <w:div w:id="796609826">
          <w:marLeft w:val="0"/>
          <w:marRight w:val="0"/>
          <w:marTop w:val="0"/>
          <w:marBottom w:val="0"/>
          <w:divBdr>
            <w:top w:val="none" w:sz="0" w:space="0" w:color="auto"/>
            <w:left w:val="none" w:sz="0" w:space="0" w:color="auto"/>
            <w:bottom w:val="none" w:sz="0" w:space="0" w:color="auto"/>
            <w:right w:val="none" w:sz="0" w:space="0" w:color="auto"/>
          </w:divBdr>
        </w:div>
        <w:div w:id="507987967">
          <w:marLeft w:val="0"/>
          <w:marRight w:val="0"/>
          <w:marTop w:val="0"/>
          <w:marBottom w:val="0"/>
          <w:divBdr>
            <w:top w:val="none" w:sz="0" w:space="0" w:color="auto"/>
            <w:left w:val="none" w:sz="0" w:space="0" w:color="auto"/>
            <w:bottom w:val="none" w:sz="0" w:space="0" w:color="auto"/>
            <w:right w:val="none" w:sz="0" w:space="0" w:color="auto"/>
          </w:divBdr>
        </w:div>
        <w:div w:id="227347157">
          <w:marLeft w:val="0"/>
          <w:marRight w:val="0"/>
          <w:marTop w:val="0"/>
          <w:marBottom w:val="0"/>
          <w:divBdr>
            <w:top w:val="none" w:sz="0" w:space="0" w:color="auto"/>
            <w:left w:val="none" w:sz="0" w:space="0" w:color="auto"/>
            <w:bottom w:val="none" w:sz="0" w:space="0" w:color="auto"/>
            <w:right w:val="none" w:sz="0" w:space="0" w:color="auto"/>
          </w:divBdr>
        </w:div>
        <w:div w:id="678122991">
          <w:marLeft w:val="0"/>
          <w:marRight w:val="0"/>
          <w:marTop w:val="0"/>
          <w:marBottom w:val="0"/>
          <w:divBdr>
            <w:top w:val="none" w:sz="0" w:space="0" w:color="auto"/>
            <w:left w:val="none" w:sz="0" w:space="0" w:color="auto"/>
            <w:bottom w:val="none" w:sz="0" w:space="0" w:color="auto"/>
            <w:right w:val="none" w:sz="0" w:space="0" w:color="auto"/>
          </w:divBdr>
        </w:div>
        <w:div w:id="1145391468">
          <w:marLeft w:val="0"/>
          <w:marRight w:val="0"/>
          <w:marTop w:val="0"/>
          <w:marBottom w:val="0"/>
          <w:divBdr>
            <w:top w:val="none" w:sz="0" w:space="0" w:color="auto"/>
            <w:left w:val="none" w:sz="0" w:space="0" w:color="auto"/>
            <w:bottom w:val="none" w:sz="0" w:space="0" w:color="auto"/>
            <w:right w:val="none" w:sz="0" w:space="0" w:color="auto"/>
          </w:divBdr>
        </w:div>
      </w:divsChild>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63467965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Heidi Wright</cp:lastModifiedBy>
  <cp:revision>8</cp:revision>
  <dcterms:created xsi:type="dcterms:W3CDTF">2023-09-26T17:21:00Z</dcterms:created>
  <dcterms:modified xsi:type="dcterms:W3CDTF">2023-10-02T07:19:00Z</dcterms:modified>
</cp:coreProperties>
</file>