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59CC0" w14:textId="4464E218" w:rsidR="00787DBB" w:rsidRDefault="00B2460C" w:rsidP="00CE07DD">
      <w:pPr>
        <w:pStyle w:val="Heading1"/>
        <w:rPr>
          <w:b/>
          <w:bCs/>
        </w:rPr>
      </w:pPr>
      <w:r>
        <w:rPr>
          <w:b/>
          <w:bCs/>
        </w:rPr>
        <w:t>Primary Care</w:t>
      </w:r>
      <w:r w:rsidR="005B586C">
        <w:rPr>
          <w:b/>
          <w:bCs/>
        </w:rPr>
        <w:t xml:space="preserve"> </w:t>
      </w:r>
      <w:r w:rsidR="00552F44">
        <w:rPr>
          <w:b/>
          <w:bCs/>
        </w:rPr>
        <w:t>Pharmacy</w:t>
      </w:r>
      <w:r w:rsidR="00C834C9">
        <w:rPr>
          <w:b/>
          <w:bCs/>
        </w:rPr>
        <w:t xml:space="preserve"> </w:t>
      </w:r>
      <w:r w:rsidR="004130F1">
        <w:rPr>
          <w:b/>
          <w:bCs/>
        </w:rPr>
        <w:t xml:space="preserve">Expert Advisory Group </w:t>
      </w:r>
      <w:r w:rsidR="00C834C9">
        <w:rPr>
          <w:b/>
          <w:bCs/>
        </w:rPr>
        <w:t>Agenda</w:t>
      </w:r>
      <w:r w:rsidR="00CE07DD">
        <w:rPr>
          <w:b/>
          <w:bCs/>
        </w:rPr>
        <w:t xml:space="preserve"> and Notes</w:t>
      </w:r>
    </w:p>
    <w:p w14:paraId="67F397FF" w14:textId="77777777" w:rsidR="00CE07DD" w:rsidRPr="00CE07DD" w:rsidRDefault="00CE07DD" w:rsidP="00CE07DD"/>
    <w:p w14:paraId="501E6576" w14:textId="030354E8" w:rsidR="00DE19B1" w:rsidRPr="00DE19B1" w:rsidRDefault="00BD5AB6" w:rsidP="00DE19B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Tuesday </w:t>
      </w:r>
      <w:r w:rsidR="00854AC4">
        <w:rPr>
          <w:b/>
          <w:bCs/>
          <w:sz w:val="28"/>
          <w:szCs w:val="28"/>
        </w:rPr>
        <w:t>23 May 2023</w:t>
      </w:r>
      <w:r w:rsidR="007D1116">
        <w:rPr>
          <w:b/>
          <w:bCs/>
          <w:sz w:val="28"/>
          <w:szCs w:val="28"/>
        </w:rPr>
        <w:t xml:space="preserve"> </w:t>
      </w:r>
      <w:r w:rsidR="004237B3">
        <w:rPr>
          <w:b/>
          <w:bCs/>
          <w:sz w:val="28"/>
          <w:szCs w:val="28"/>
        </w:rPr>
        <w:t>19.</w:t>
      </w:r>
      <w:r w:rsidR="0004053B">
        <w:rPr>
          <w:b/>
          <w:bCs/>
          <w:sz w:val="28"/>
          <w:szCs w:val="28"/>
        </w:rPr>
        <w:t>00</w:t>
      </w:r>
      <w:r w:rsidR="004237B3">
        <w:rPr>
          <w:b/>
          <w:bCs/>
          <w:sz w:val="28"/>
          <w:szCs w:val="28"/>
        </w:rPr>
        <w:t xml:space="preserve"> – 21.</w:t>
      </w:r>
      <w:r w:rsidR="0004053B">
        <w:rPr>
          <w:b/>
          <w:bCs/>
          <w:sz w:val="28"/>
          <w:szCs w:val="28"/>
        </w:rPr>
        <w:t>00</w:t>
      </w:r>
      <w:r w:rsidR="004237B3">
        <w:rPr>
          <w:b/>
          <w:bCs/>
          <w:sz w:val="28"/>
          <w:szCs w:val="28"/>
        </w:rPr>
        <w:t xml:space="preserve"> By</w:t>
      </w:r>
      <w:r w:rsidR="00F27759">
        <w:rPr>
          <w:b/>
          <w:bCs/>
          <w:sz w:val="28"/>
          <w:szCs w:val="28"/>
        </w:rPr>
        <w:t xml:space="preserve"> Zoom: </w:t>
      </w:r>
    </w:p>
    <w:p w14:paraId="0533286C" w14:textId="6C8F1E1B" w:rsidR="00BE5822" w:rsidRDefault="00BE5822" w:rsidP="004130F1">
      <w:pPr>
        <w:spacing w:after="0"/>
      </w:pPr>
    </w:p>
    <w:p w14:paraId="671EF214" w14:textId="7B3DC1E7" w:rsidR="004130F1" w:rsidRPr="004130F1" w:rsidRDefault="5A8CE91A" w:rsidP="004130F1">
      <w:pPr>
        <w:pStyle w:val="Heading2"/>
        <w:pBdr>
          <w:bottom w:val="single" w:sz="4" w:space="1" w:color="auto"/>
        </w:pBdr>
        <w:shd w:val="clear" w:color="auto" w:fill="DEEAF6" w:themeFill="accent5" w:themeFillTint="33"/>
        <w:rPr>
          <w:b/>
          <w:bCs/>
          <w:color w:val="000000" w:themeColor="text1"/>
        </w:rPr>
      </w:pPr>
      <w:r w:rsidRPr="5A8CE91A">
        <w:rPr>
          <w:b/>
          <w:bCs/>
          <w:color w:val="000000" w:themeColor="text1"/>
        </w:rPr>
        <w:t xml:space="preserve">1: Welcome, Apologies and introduction (10 mins) </w:t>
      </w:r>
      <w:proofErr w:type="gramStart"/>
      <w:r w:rsidRPr="5A8CE91A">
        <w:rPr>
          <w:b/>
          <w:bCs/>
          <w:color w:val="000000" w:themeColor="text1"/>
        </w:rPr>
        <w:t>-  Anne</w:t>
      </w:r>
      <w:proofErr w:type="gramEnd"/>
      <w:r w:rsidRPr="5A8CE91A">
        <w:rPr>
          <w:b/>
          <w:bCs/>
          <w:color w:val="000000" w:themeColor="text1"/>
        </w:rPr>
        <w:t xml:space="preserve"> Thomson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365"/>
        <w:gridCol w:w="7651"/>
      </w:tblGrid>
      <w:tr w:rsidR="000A0C1D" w:rsidRPr="004237B3" w14:paraId="6A72F8F9" w14:textId="77777777" w:rsidTr="1CEEC284">
        <w:trPr>
          <w:trHeight w:val="273"/>
        </w:trPr>
        <w:tc>
          <w:tcPr>
            <w:tcW w:w="1365" w:type="dxa"/>
          </w:tcPr>
          <w:p w14:paraId="2CC930B5" w14:textId="77777777" w:rsidR="000A0C1D" w:rsidRPr="004237B3" w:rsidRDefault="000A0C1D" w:rsidP="008805EB">
            <w:pPr>
              <w:rPr>
                <w:b/>
                <w:bCs/>
              </w:rPr>
            </w:pPr>
            <w:r w:rsidRPr="004237B3">
              <w:rPr>
                <w:b/>
                <w:bCs/>
              </w:rPr>
              <w:t>Description</w:t>
            </w:r>
          </w:p>
        </w:tc>
        <w:tc>
          <w:tcPr>
            <w:tcW w:w="7651" w:type="dxa"/>
          </w:tcPr>
          <w:p w14:paraId="76F60891" w14:textId="0D480EE3" w:rsidR="007510AD" w:rsidRDefault="1CEEC284" w:rsidP="00782D7B">
            <w:r>
              <w:t>To welcome, note apologies and introduction to the content of the meeting</w:t>
            </w:r>
          </w:p>
          <w:p w14:paraId="3D5E6C71" w14:textId="459818A3" w:rsidR="00782D7B" w:rsidRPr="00782D7B" w:rsidRDefault="00782D7B" w:rsidP="00782D7B">
            <w:pPr>
              <w:rPr>
                <w:rFonts w:cstheme="minorHAnsi"/>
              </w:rPr>
            </w:pPr>
          </w:p>
        </w:tc>
      </w:tr>
      <w:tr w:rsidR="000A0C1D" w:rsidRPr="007C0870" w14:paraId="71C4A3D0" w14:textId="77777777" w:rsidTr="1CEEC284">
        <w:trPr>
          <w:trHeight w:val="638"/>
        </w:trPr>
        <w:tc>
          <w:tcPr>
            <w:tcW w:w="1365" w:type="dxa"/>
          </w:tcPr>
          <w:p w14:paraId="57C66510" w14:textId="77777777" w:rsidR="000A0C1D" w:rsidRPr="004237B3" w:rsidRDefault="000A0C1D" w:rsidP="008805EB">
            <w:pPr>
              <w:rPr>
                <w:b/>
                <w:bCs/>
              </w:rPr>
            </w:pPr>
            <w:r w:rsidRPr="004237B3">
              <w:rPr>
                <w:b/>
                <w:bCs/>
              </w:rPr>
              <w:t>Purpose</w:t>
            </w:r>
          </w:p>
        </w:tc>
        <w:tc>
          <w:tcPr>
            <w:tcW w:w="7651" w:type="dxa"/>
          </w:tcPr>
          <w:p w14:paraId="711FF345" w14:textId="1204FC10" w:rsidR="006F15D8" w:rsidRPr="00FD5136" w:rsidRDefault="00DE19B1" w:rsidP="00DE19B1">
            <w:pPr>
              <w:rPr>
                <w:rFonts w:cstheme="minorHAnsi"/>
              </w:rPr>
            </w:pPr>
            <w:r>
              <w:rPr>
                <w:rFonts w:cstheme="minorHAnsi"/>
              </w:rPr>
              <w:t>To r</w:t>
            </w:r>
            <w:r w:rsidR="00070D06">
              <w:rPr>
                <w:rFonts w:cstheme="minorHAnsi"/>
              </w:rPr>
              <w:t xml:space="preserve">aise any matters arising </w:t>
            </w:r>
          </w:p>
        </w:tc>
      </w:tr>
      <w:tr w:rsidR="000A0C1D" w:rsidRPr="000C7A2D" w14:paraId="3BE1B3B7" w14:textId="77777777" w:rsidTr="1CEEC284">
        <w:trPr>
          <w:trHeight w:val="568"/>
        </w:trPr>
        <w:tc>
          <w:tcPr>
            <w:tcW w:w="1365" w:type="dxa"/>
          </w:tcPr>
          <w:p w14:paraId="1FCD453F" w14:textId="77777777" w:rsidR="000A0C1D" w:rsidRPr="004237B3" w:rsidRDefault="000A0C1D" w:rsidP="008805EB">
            <w:pPr>
              <w:rPr>
                <w:b/>
                <w:bCs/>
              </w:rPr>
            </w:pPr>
            <w:r w:rsidRPr="004237B3">
              <w:rPr>
                <w:b/>
                <w:bCs/>
              </w:rPr>
              <w:t>Outcomes</w:t>
            </w:r>
          </w:p>
        </w:tc>
        <w:tc>
          <w:tcPr>
            <w:tcW w:w="7651" w:type="dxa"/>
          </w:tcPr>
          <w:p w14:paraId="489410DE" w14:textId="5597BD86" w:rsidR="00244786" w:rsidRPr="00244786" w:rsidRDefault="00244786" w:rsidP="00244786">
            <w:pPr>
              <w:rPr>
                <w:b/>
                <w:bCs/>
              </w:rPr>
            </w:pPr>
            <w:r w:rsidRPr="00244786">
              <w:rPr>
                <w:b/>
                <w:bCs/>
              </w:rPr>
              <w:t>Attendees</w:t>
            </w:r>
          </w:p>
          <w:p w14:paraId="2C29B6A0" w14:textId="0F83A66B" w:rsidR="00244786" w:rsidRPr="008D6937" w:rsidRDefault="00244786" w:rsidP="00244786">
            <w:r w:rsidRPr="008D6937">
              <w:t>Rosemary Furner</w:t>
            </w:r>
          </w:p>
          <w:p w14:paraId="6A6E65FB" w14:textId="77777777" w:rsidR="00244786" w:rsidRPr="008D6937" w:rsidRDefault="00244786" w:rsidP="00244786">
            <w:r w:rsidRPr="008D6937">
              <w:t xml:space="preserve">Anne Thomson </w:t>
            </w:r>
          </w:p>
          <w:p w14:paraId="284B4420" w14:textId="77777777" w:rsidR="00244786" w:rsidRPr="008D6937" w:rsidRDefault="00244786" w:rsidP="00244786">
            <w:r w:rsidRPr="008D6937">
              <w:t xml:space="preserve">Clair Huckerby </w:t>
            </w:r>
          </w:p>
          <w:p w14:paraId="6A813AD1" w14:textId="77777777" w:rsidR="00244786" w:rsidRPr="008D6937" w:rsidRDefault="00244786" w:rsidP="00244786">
            <w:r w:rsidRPr="008D6937">
              <w:t xml:space="preserve">Hadeel Mohamed </w:t>
            </w:r>
          </w:p>
          <w:p w14:paraId="7ABA50CB" w14:textId="77777777" w:rsidR="00244786" w:rsidRPr="008D6937" w:rsidRDefault="00244786" w:rsidP="00244786">
            <w:r w:rsidRPr="008D6937">
              <w:t xml:space="preserve">Graham Stretch </w:t>
            </w:r>
          </w:p>
          <w:p w14:paraId="776DD357" w14:textId="77777777" w:rsidR="00244786" w:rsidRDefault="00244786" w:rsidP="00244786">
            <w:r w:rsidRPr="008D6937">
              <w:t>Lucy Ann Higgins</w:t>
            </w:r>
          </w:p>
          <w:p w14:paraId="6A43E3E2" w14:textId="5AC3A556" w:rsidR="007305A7" w:rsidRPr="008D6937" w:rsidRDefault="007305A7" w:rsidP="00244786">
            <w:r w:rsidRPr="00246826">
              <w:rPr>
                <w:bCs/>
              </w:rPr>
              <w:t>Jennifer McCutcheon</w:t>
            </w:r>
          </w:p>
          <w:p w14:paraId="259F9D9A" w14:textId="335DBA8B" w:rsidR="00244786" w:rsidRDefault="00244786" w:rsidP="00244786">
            <w:pPr>
              <w:rPr>
                <w:bCs/>
              </w:rPr>
            </w:pPr>
          </w:p>
          <w:p w14:paraId="430D352C" w14:textId="747C1E67" w:rsidR="00244786" w:rsidRPr="00244786" w:rsidRDefault="00244786" w:rsidP="00244786">
            <w:pPr>
              <w:rPr>
                <w:b/>
              </w:rPr>
            </w:pPr>
            <w:r w:rsidRPr="00244786">
              <w:rPr>
                <w:b/>
              </w:rPr>
              <w:t>Apologies</w:t>
            </w:r>
          </w:p>
          <w:p w14:paraId="58BA7906" w14:textId="77777777" w:rsidR="00244786" w:rsidRDefault="00244786" w:rsidP="00244786">
            <w:pPr>
              <w:rPr>
                <w:bCs/>
              </w:rPr>
            </w:pPr>
            <w:r w:rsidRPr="00246826">
              <w:rPr>
                <w:bCs/>
              </w:rPr>
              <w:t xml:space="preserve">Kemi Gibson </w:t>
            </w:r>
          </w:p>
          <w:p w14:paraId="1B61CA13" w14:textId="268A8B42" w:rsidR="00244786" w:rsidRDefault="00244786" w:rsidP="00244786">
            <w:pPr>
              <w:rPr>
                <w:bCs/>
              </w:rPr>
            </w:pPr>
            <w:r>
              <w:rPr>
                <w:bCs/>
              </w:rPr>
              <w:t>Aiysha Raoof</w:t>
            </w:r>
          </w:p>
          <w:p w14:paraId="25381D34" w14:textId="77777777" w:rsidR="00C10619" w:rsidRDefault="00C10619" w:rsidP="00C10619">
            <w:pPr>
              <w:rPr>
                <w:bCs/>
              </w:rPr>
            </w:pPr>
            <w:r w:rsidRPr="002C4CD6">
              <w:rPr>
                <w:bCs/>
              </w:rPr>
              <w:t xml:space="preserve">Helen Kilminster </w:t>
            </w:r>
          </w:p>
          <w:p w14:paraId="45DBDE2B" w14:textId="77777777" w:rsidR="00CE07DD" w:rsidRDefault="00CE07DD" w:rsidP="00CE07DD">
            <w:r>
              <w:t>Jane Hall</w:t>
            </w:r>
          </w:p>
          <w:p w14:paraId="1EE6E34D" w14:textId="77777777" w:rsidR="00CE07DD" w:rsidRDefault="00CE07DD" w:rsidP="00CE07DD">
            <w:r>
              <w:t>Jodie White</w:t>
            </w:r>
          </w:p>
          <w:p w14:paraId="26AD5358" w14:textId="77777777" w:rsidR="003A67D1" w:rsidRDefault="003A67D1" w:rsidP="003A67D1">
            <w:r>
              <w:t>Emily Bond</w:t>
            </w:r>
          </w:p>
          <w:p w14:paraId="2298FD57" w14:textId="4070D2C2" w:rsidR="00244786" w:rsidRDefault="00244786" w:rsidP="00244786">
            <w:r w:rsidRPr="00244786">
              <w:t>Richard Shearer (SPB)</w:t>
            </w:r>
          </w:p>
          <w:p w14:paraId="40DB770D" w14:textId="77777777" w:rsidR="00244786" w:rsidRDefault="00244786" w:rsidP="00244786"/>
          <w:p w14:paraId="54F23B0C" w14:textId="77777777" w:rsidR="008014A4" w:rsidRPr="00003AC6" w:rsidRDefault="008014A4" w:rsidP="008014A4">
            <w:pPr>
              <w:rPr>
                <w:rFonts w:cstheme="minorHAnsi"/>
                <w:b/>
                <w:bCs/>
              </w:rPr>
            </w:pPr>
            <w:r w:rsidRPr="376E03C7">
              <w:rPr>
                <w:b/>
                <w:bCs/>
              </w:rPr>
              <w:t>Non-attendance</w:t>
            </w:r>
          </w:p>
          <w:p w14:paraId="6BD02827" w14:textId="77777777" w:rsidR="008014A4" w:rsidRPr="00246826" w:rsidRDefault="008014A4" w:rsidP="008014A4">
            <w:r w:rsidRPr="00246826">
              <w:t xml:space="preserve">Kamaljit Takhar </w:t>
            </w:r>
            <w:r>
              <w:t xml:space="preserve"> </w:t>
            </w:r>
          </w:p>
          <w:p w14:paraId="2BA1567B" w14:textId="77777777" w:rsidR="008014A4" w:rsidRDefault="008014A4" w:rsidP="008014A4">
            <w:r w:rsidRPr="00357553">
              <w:t xml:space="preserve">Shasta Parveen Chimhau </w:t>
            </w:r>
          </w:p>
          <w:p w14:paraId="60D86494" w14:textId="77777777" w:rsidR="008014A4" w:rsidRDefault="008014A4" w:rsidP="008014A4">
            <w:proofErr w:type="spellStart"/>
            <w:r>
              <w:t>Jalek</w:t>
            </w:r>
            <w:proofErr w:type="spellEnd"/>
            <w:r>
              <w:t xml:space="preserve"> Shukla</w:t>
            </w:r>
          </w:p>
          <w:p w14:paraId="69EFDDB1" w14:textId="1E02DE3B" w:rsidR="004C077F" w:rsidRPr="002C4CD6" w:rsidRDefault="004C077F" w:rsidP="008014A4">
            <w:pPr>
              <w:rPr>
                <w:bCs/>
              </w:rPr>
            </w:pPr>
            <w:r>
              <w:rPr>
                <w:bCs/>
              </w:rPr>
              <w:t>Raj Bajwa</w:t>
            </w:r>
          </w:p>
          <w:p w14:paraId="45547AA7" w14:textId="77777777" w:rsidR="008014A4" w:rsidRPr="00244786" w:rsidRDefault="008014A4" w:rsidP="00244786"/>
          <w:p w14:paraId="623BBE22" w14:textId="77777777" w:rsidR="00244786" w:rsidRPr="00003AC6" w:rsidRDefault="00244786" w:rsidP="00244786">
            <w:pPr>
              <w:rPr>
                <w:b/>
                <w:bCs/>
              </w:rPr>
            </w:pPr>
            <w:r w:rsidRPr="00003AC6">
              <w:rPr>
                <w:b/>
                <w:bCs/>
              </w:rPr>
              <w:t>Speakers</w:t>
            </w:r>
          </w:p>
          <w:p w14:paraId="67A7664A" w14:textId="3A9B009A" w:rsidR="00244786" w:rsidRPr="008D6937" w:rsidRDefault="00244786" w:rsidP="00244786">
            <w:r w:rsidRPr="008D6937">
              <w:t>Wing Tang</w:t>
            </w:r>
            <w:r w:rsidR="008D6937">
              <w:t xml:space="preserve"> (RPS)</w:t>
            </w:r>
          </w:p>
          <w:p w14:paraId="598D99DE" w14:textId="43289AB0" w:rsidR="00C10619" w:rsidRPr="008D6937" w:rsidRDefault="00C10619" w:rsidP="00244786">
            <w:r w:rsidRPr="008D6937">
              <w:t>Jenny Allen</w:t>
            </w:r>
            <w:r w:rsidR="008D6937">
              <w:t xml:space="preserve"> (RPS)</w:t>
            </w:r>
          </w:p>
          <w:p w14:paraId="6E071907" w14:textId="345017F5" w:rsidR="008D6937" w:rsidRPr="008D6937" w:rsidRDefault="008D6937" w:rsidP="00244786">
            <w:r w:rsidRPr="008D6937">
              <w:t>Heidi Wright</w:t>
            </w:r>
            <w:r>
              <w:t xml:space="preserve"> (RPS)</w:t>
            </w:r>
          </w:p>
          <w:p w14:paraId="7C011830" w14:textId="15CC1E98" w:rsidR="00C10619" w:rsidRPr="008D6937" w:rsidRDefault="00C10619" w:rsidP="00244786">
            <w:r w:rsidRPr="008D6937">
              <w:t>Ann Newman</w:t>
            </w:r>
            <w:r w:rsidR="008D6937">
              <w:t xml:space="preserve"> (DWP)</w:t>
            </w:r>
          </w:p>
          <w:p w14:paraId="10B27C4C" w14:textId="064FE1AD" w:rsidR="00244786" w:rsidRPr="008D6937" w:rsidRDefault="008014A4" w:rsidP="00244786">
            <w:r w:rsidRPr="008D6937">
              <w:t>Kamal Gulnaz</w:t>
            </w:r>
            <w:r w:rsidR="008D6937">
              <w:t xml:space="preserve"> (DWP)</w:t>
            </w:r>
          </w:p>
          <w:p w14:paraId="6AF85F86" w14:textId="77777777" w:rsidR="00244786" w:rsidRPr="00003AC6" w:rsidRDefault="00244786" w:rsidP="00244786">
            <w:pPr>
              <w:rPr>
                <w:b/>
                <w:bCs/>
              </w:rPr>
            </w:pPr>
          </w:p>
          <w:p w14:paraId="573D1C72" w14:textId="5A58BE22" w:rsidR="00244786" w:rsidRPr="00244786" w:rsidRDefault="00244786" w:rsidP="00244786">
            <w:pPr>
              <w:rPr>
                <w:b/>
                <w:bCs/>
              </w:rPr>
            </w:pPr>
            <w:r w:rsidRPr="00003AC6">
              <w:rPr>
                <w:b/>
                <w:bCs/>
              </w:rPr>
              <w:t>Observers</w:t>
            </w:r>
          </w:p>
          <w:p w14:paraId="484208F1" w14:textId="1F1D4690" w:rsidR="00D16DC2" w:rsidRPr="00A92637" w:rsidRDefault="00D16DC2" w:rsidP="00D16DC2">
            <w:pPr>
              <w:rPr>
                <w:rFonts w:cstheme="minorHAnsi"/>
              </w:rPr>
            </w:pPr>
            <w:r w:rsidRPr="00A92637">
              <w:rPr>
                <w:rFonts w:cstheme="minorHAnsi"/>
              </w:rPr>
              <w:t>Sarah Ingram</w:t>
            </w:r>
          </w:p>
          <w:p w14:paraId="285DEDA1" w14:textId="52C16D52" w:rsidR="00D16DC2" w:rsidRPr="00A92637" w:rsidRDefault="00D16DC2" w:rsidP="00D16DC2">
            <w:pPr>
              <w:rPr>
                <w:rFonts w:cstheme="minorHAnsi"/>
              </w:rPr>
            </w:pPr>
            <w:r w:rsidRPr="00A92637">
              <w:rPr>
                <w:rFonts w:cstheme="minorHAnsi"/>
              </w:rPr>
              <w:t xml:space="preserve">Nicola </w:t>
            </w:r>
            <w:proofErr w:type="spellStart"/>
            <w:r w:rsidRPr="00A92637">
              <w:rPr>
                <w:rFonts w:cstheme="minorHAnsi"/>
              </w:rPr>
              <w:t>Lochrin</w:t>
            </w:r>
            <w:proofErr w:type="spellEnd"/>
          </w:p>
          <w:p w14:paraId="3671F86E" w14:textId="493A9960" w:rsidR="00D16DC2" w:rsidRPr="00A92637" w:rsidRDefault="00D16DC2" w:rsidP="00D16DC2">
            <w:pPr>
              <w:rPr>
                <w:rFonts w:cstheme="minorHAnsi"/>
              </w:rPr>
            </w:pPr>
            <w:r w:rsidRPr="00A92637">
              <w:rPr>
                <w:rFonts w:cstheme="minorHAnsi"/>
              </w:rPr>
              <w:t xml:space="preserve">Tejal </w:t>
            </w:r>
            <w:proofErr w:type="spellStart"/>
            <w:r w:rsidRPr="00A92637">
              <w:rPr>
                <w:rFonts w:cstheme="minorHAnsi"/>
              </w:rPr>
              <w:t>Gor</w:t>
            </w:r>
            <w:proofErr w:type="spellEnd"/>
          </w:p>
          <w:p w14:paraId="4D545D9D" w14:textId="68004A3F" w:rsidR="00D16DC2" w:rsidRPr="00A92637" w:rsidRDefault="00D16DC2" w:rsidP="00D16DC2">
            <w:pPr>
              <w:rPr>
                <w:rFonts w:cstheme="minorHAnsi"/>
              </w:rPr>
            </w:pPr>
            <w:r w:rsidRPr="00A92637">
              <w:rPr>
                <w:rFonts w:cstheme="minorHAnsi"/>
              </w:rPr>
              <w:t>Bano Raheem</w:t>
            </w:r>
          </w:p>
          <w:p w14:paraId="43B8C373" w14:textId="6614E528" w:rsidR="00D16DC2" w:rsidRPr="00A92637" w:rsidRDefault="00D16DC2" w:rsidP="00D16DC2">
            <w:pPr>
              <w:rPr>
                <w:rFonts w:cstheme="minorHAnsi"/>
              </w:rPr>
            </w:pPr>
            <w:r w:rsidRPr="00A92637">
              <w:rPr>
                <w:rFonts w:cstheme="minorHAnsi"/>
              </w:rPr>
              <w:t>Kathy Barsby</w:t>
            </w:r>
          </w:p>
          <w:p w14:paraId="222EDCCF" w14:textId="2C87A728" w:rsidR="00D16DC2" w:rsidRPr="00A92637" w:rsidRDefault="00D16DC2" w:rsidP="00D16DC2">
            <w:pPr>
              <w:rPr>
                <w:rFonts w:cstheme="minorHAnsi"/>
              </w:rPr>
            </w:pPr>
            <w:r w:rsidRPr="00A92637">
              <w:rPr>
                <w:rFonts w:cstheme="minorHAnsi"/>
              </w:rPr>
              <w:t>Sadia Mahmood</w:t>
            </w:r>
          </w:p>
          <w:p w14:paraId="0D35B401" w14:textId="2C899433" w:rsidR="00D16DC2" w:rsidRPr="00A92637" w:rsidRDefault="00D16DC2" w:rsidP="00D16DC2">
            <w:pPr>
              <w:rPr>
                <w:rFonts w:cstheme="minorHAnsi"/>
              </w:rPr>
            </w:pPr>
            <w:proofErr w:type="spellStart"/>
            <w:r w:rsidRPr="00A92637">
              <w:rPr>
                <w:rFonts w:cstheme="minorHAnsi"/>
              </w:rPr>
              <w:t>Hassanat</w:t>
            </w:r>
            <w:proofErr w:type="spellEnd"/>
            <w:r w:rsidRPr="00A92637">
              <w:rPr>
                <w:rFonts w:cstheme="minorHAnsi"/>
              </w:rPr>
              <w:t xml:space="preserve"> </w:t>
            </w:r>
            <w:proofErr w:type="spellStart"/>
            <w:r w:rsidRPr="00A92637">
              <w:rPr>
                <w:rFonts w:cstheme="minorHAnsi"/>
              </w:rPr>
              <w:t>Jimoh</w:t>
            </w:r>
            <w:proofErr w:type="spellEnd"/>
          </w:p>
          <w:p w14:paraId="6047300D" w14:textId="7161CF23" w:rsidR="00D16DC2" w:rsidRPr="00A92637" w:rsidRDefault="00D16DC2" w:rsidP="00D16DC2">
            <w:pPr>
              <w:rPr>
                <w:rFonts w:cstheme="minorHAnsi"/>
              </w:rPr>
            </w:pPr>
            <w:r w:rsidRPr="00A92637">
              <w:rPr>
                <w:rFonts w:cstheme="minorHAnsi"/>
              </w:rPr>
              <w:lastRenderedPageBreak/>
              <w:t>Rachel Bruce</w:t>
            </w:r>
          </w:p>
          <w:p w14:paraId="6A87AB5D" w14:textId="0999755B" w:rsidR="00C10619" w:rsidRPr="00A92637" w:rsidRDefault="00C10619" w:rsidP="00D16DC2">
            <w:pPr>
              <w:rPr>
                <w:rFonts w:cstheme="minorHAnsi"/>
              </w:rPr>
            </w:pPr>
            <w:r w:rsidRPr="00A92637">
              <w:rPr>
                <w:rFonts w:cstheme="minorHAnsi"/>
              </w:rPr>
              <w:t>Ann Newman</w:t>
            </w:r>
          </w:p>
          <w:p w14:paraId="1903603A" w14:textId="439174EE" w:rsidR="009021F2" w:rsidRPr="00A92637" w:rsidRDefault="009021F2" w:rsidP="00D16DC2">
            <w:pPr>
              <w:rPr>
                <w:rFonts w:cstheme="minorHAnsi"/>
              </w:rPr>
            </w:pPr>
            <w:r w:rsidRPr="00A92637">
              <w:rPr>
                <w:rFonts w:cstheme="minorHAnsi"/>
              </w:rPr>
              <w:t xml:space="preserve">Deborah </w:t>
            </w:r>
            <w:proofErr w:type="spellStart"/>
            <w:r w:rsidRPr="00A92637">
              <w:rPr>
                <w:rFonts w:cstheme="minorHAnsi"/>
              </w:rPr>
              <w:t>Adedoye</w:t>
            </w:r>
            <w:proofErr w:type="spellEnd"/>
          </w:p>
          <w:p w14:paraId="665C0243" w14:textId="7B45F347" w:rsidR="00D16DC2" w:rsidRPr="00A92637" w:rsidRDefault="00D16DC2" w:rsidP="00D16DC2">
            <w:pPr>
              <w:rPr>
                <w:rFonts w:cstheme="minorHAnsi"/>
              </w:rPr>
            </w:pPr>
            <w:r w:rsidRPr="00A92637">
              <w:rPr>
                <w:rFonts w:cstheme="minorHAnsi"/>
              </w:rPr>
              <w:t>Sally Squire</w:t>
            </w:r>
          </w:p>
          <w:p w14:paraId="30C530CC" w14:textId="77777777" w:rsidR="000A0C1D" w:rsidRDefault="00D16DC2" w:rsidP="008D6937">
            <w:pPr>
              <w:rPr>
                <w:rFonts w:cstheme="minorHAnsi"/>
              </w:rPr>
            </w:pPr>
            <w:r w:rsidRPr="00A92637">
              <w:rPr>
                <w:rFonts w:cstheme="minorHAnsi"/>
              </w:rPr>
              <w:t>Rebecca Bone</w:t>
            </w:r>
          </w:p>
          <w:p w14:paraId="20E63DE8" w14:textId="0F0E404B" w:rsidR="00A92637" w:rsidRPr="000C7A2D" w:rsidRDefault="00A92637" w:rsidP="008D6937"/>
        </w:tc>
      </w:tr>
    </w:tbl>
    <w:p w14:paraId="2F40DAE3" w14:textId="57A3CF14" w:rsidR="00CA621E" w:rsidRDefault="00CA621E" w:rsidP="004130F1">
      <w:pPr>
        <w:spacing w:after="0"/>
      </w:pPr>
    </w:p>
    <w:p w14:paraId="7EA6895E" w14:textId="587DF7D9" w:rsidR="00355A75" w:rsidRDefault="00355A75" w:rsidP="00355A75">
      <w:pPr>
        <w:pStyle w:val="Heading2"/>
        <w:shd w:val="clear" w:color="auto" w:fill="DEEAF6" w:themeFill="accent5" w:themeFillTint="33"/>
        <w:rPr>
          <w:b/>
          <w:bCs/>
          <w:color w:val="000000" w:themeColor="text1"/>
          <w:lang w:val="fr-FR"/>
        </w:rPr>
      </w:pPr>
      <w:r>
        <w:rPr>
          <w:b/>
          <w:bCs/>
          <w:color w:val="000000" w:themeColor="text1"/>
          <w:lang w:val="fr-FR"/>
        </w:rPr>
        <w:t>2</w:t>
      </w:r>
      <w:r w:rsidR="009021F2">
        <w:rPr>
          <w:b/>
          <w:bCs/>
          <w:color w:val="000000" w:themeColor="text1"/>
          <w:lang w:val="fr-FR"/>
        </w:rPr>
        <w:t> </w:t>
      </w:r>
      <w:r w:rsidRPr="7B5E0B07">
        <w:rPr>
          <w:b/>
          <w:bCs/>
          <w:color w:val="000000" w:themeColor="text1"/>
          <w:lang w:val="fr-FR"/>
        </w:rPr>
        <w:t xml:space="preserve">: </w:t>
      </w:r>
      <w:r>
        <w:rPr>
          <w:b/>
          <w:bCs/>
          <w:color w:val="000000" w:themeColor="text1"/>
          <w:lang w:val="fr-FR"/>
        </w:rPr>
        <w:t>Fit notes (15 mins) – Wing Tang</w:t>
      </w:r>
      <w:r w:rsidR="00C10619">
        <w:rPr>
          <w:b/>
          <w:bCs/>
          <w:color w:val="000000" w:themeColor="text1"/>
          <w:lang w:val="fr-FR"/>
        </w:rPr>
        <w:t>, Ann Newman</w:t>
      </w:r>
      <w:r w:rsidR="008014A4">
        <w:rPr>
          <w:b/>
          <w:bCs/>
          <w:color w:val="000000" w:themeColor="text1"/>
          <w:lang w:val="fr-FR"/>
        </w:rPr>
        <w:t xml:space="preserve">, </w:t>
      </w:r>
      <w:r w:rsidR="008014A4" w:rsidRPr="008014A4">
        <w:rPr>
          <w:b/>
          <w:bCs/>
          <w:color w:val="000000" w:themeColor="text1"/>
          <w:lang w:val="fr-FR"/>
        </w:rPr>
        <w:t>Kamal Gulnaz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335"/>
        <w:gridCol w:w="7681"/>
      </w:tblGrid>
      <w:tr w:rsidR="00355A75" w14:paraId="26AA39DB" w14:textId="77777777" w:rsidTr="00185577">
        <w:trPr>
          <w:trHeight w:val="1065"/>
        </w:trPr>
        <w:tc>
          <w:tcPr>
            <w:tcW w:w="1335" w:type="dxa"/>
          </w:tcPr>
          <w:p w14:paraId="391F4A33" w14:textId="77777777" w:rsidR="00355A75" w:rsidRDefault="00355A75" w:rsidP="00185577">
            <w:pPr>
              <w:rPr>
                <w:b/>
                <w:bCs/>
              </w:rPr>
            </w:pPr>
            <w:r w:rsidRPr="7B5E0B07">
              <w:rPr>
                <w:b/>
                <w:bCs/>
              </w:rPr>
              <w:t>Descripti</w:t>
            </w:r>
            <w:r>
              <w:rPr>
                <w:b/>
                <w:bCs/>
              </w:rPr>
              <w:t>on</w:t>
            </w:r>
          </w:p>
        </w:tc>
        <w:tc>
          <w:tcPr>
            <w:tcW w:w="7681" w:type="dxa"/>
          </w:tcPr>
          <w:p w14:paraId="006E6876" w14:textId="77777777" w:rsidR="00355A75" w:rsidRPr="00EC1F3D" w:rsidRDefault="00355A75" w:rsidP="00185577">
            <w:pPr>
              <w:rPr>
                <w:rFonts w:cstheme="minorHAnsi"/>
              </w:rPr>
            </w:pPr>
            <w:r w:rsidRPr="00EC1F3D">
              <w:rPr>
                <w:rFonts w:cstheme="minorHAnsi"/>
              </w:rPr>
              <w:t>The DWP have new preliminary data indicating pharmacists are issuing the second largest volume of fit notes after the nursing profession. There is a DWP request for feedback from pharmacy about how this is going</w:t>
            </w:r>
          </w:p>
        </w:tc>
      </w:tr>
      <w:tr w:rsidR="00355A75" w14:paraId="3B8AE57A" w14:textId="77777777" w:rsidTr="00A92637">
        <w:trPr>
          <w:trHeight w:val="389"/>
        </w:trPr>
        <w:tc>
          <w:tcPr>
            <w:tcW w:w="1335" w:type="dxa"/>
          </w:tcPr>
          <w:p w14:paraId="6B7A48DE" w14:textId="77777777" w:rsidR="00355A75" w:rsidRDefault="00355A75" w:rsidP="00185577">
            <w:pPr>
              <w:rPr>
                <w:b/>
                <w:bCs/>
              </w:rPr>
            </w:pPr>
            <w:r w:rsidRPr="7B5E0B07">
              <w:rPr>
                <w:b/>
                <w:bCs/>
              </w:rPr>
              <w:t>Purpose</w:t>
            </w:r>
          </w:p>
        </w:tc>
        <w:tc>
          <w:tcPr>
            <w:tcW w:w="7681" w:type="dxa"/>
          </w:tcPr>
          <w:p w14:paraId="4D4A6ED6" w14:textId="77777777" w:rsidR="00355A75" w:rsidRDefault="00355A75" w:rsidP="00185577">
            <w:pPr>
              <w:pStyle w:val="ListParagraph"/>
              <w:ind w:left="0"/>
            </w:pPr>
            <w:r>
              <w:t>Discuss the issuing of fit notes by pharmacists in primary care</w:t>
            </w:r>
          </w:p>
        </w:tc>
      </w:tr>
      <w:tr w:rsidR="00355A75" w14:paraId="156F560F" w14:textId="77777777" w:rsidTr="00185577">
        <w:trPr>
          <w:trHeight w:val="568"/>
        </w:trPr>
        <w:tc>
          <w:tcPr>
            <w:tcW w:w="1335" w:type="dxa"/>
          </w:tcPr>
          <w:p w14:paraId="5A925C13" w14:textId="77777777" w:rsidR="00355A75" w:rsidRDefault="00355A75" w:rsidP="00185577">
            <w:pPr>
              <w:rPr>
                <w:b/>
                <w:bCs/>
              </w:rPr>
            </w:pPr>
            <w:r w:rsidRPr="7B5E0B07">
              <w:rPr>
                <w:b/>
                <w:bCs/>
              </w:rPr>
              <w:t>Outcomes</w:t>
            </w:r>
          </w:p>
        </w:tc>
        <w:tc>
          <w:tcPr>
            <w:tcW w:w="7681" w:type="dxa"/>
          </w:tcPr>
          <w:p w14:paraId="6AD86691" w14:textId="03663C3F" w:rsidR="00A92637" w:rsidRPr="00A92637" w:rsidRDefault="00A92637" w:rsidP="00A92637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00A92637">
              <w:rPr>
                <w:rFonts w:ascii="Calibri" w:eastAsia="Calibri" w:hAnsi="Calibri" w:cs="Calibri"/>
                <w:b/>
                <w:bCs/>
                <w:i/>
                <w:iCs/>
              </w:rPr>
              <w:t>Speaker presentation</w:t>
            </w:r>
          </w:p>
          <w:p w14:paraId="509B3342" w14:textId="4EA48D5A" w:rsidR="00355A75" w:rsidRDefault="00CE07DD" w:rsidP="008D6937">
            <w:pPr>
              <w:pStyle w:val="ListParagraph"/>
              <w:numPr>
                <w:ilvl w:val="0"/>
                <w:numId w:val="2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Fit notes are i</w:t>
            </w:r>
            <w:r w:rsidR="009021F2">
              <w:rPr>
                <w:rFonts w:ascii="Calibri" w:eastAsia="Calibri" w:hAnsi="Calibri" w:cs="Calibri"/>
              </w:rPr>
              <w:t>ssue</w:t>
            </w:r>
            <w:r>
              <w:rPr>
                <w:rFonts w:ascii="Calibri" w:eastAsia="Calibri" w:hAnsi="Calibri" w:cs="Calibri"/>
              </w:rPr>
              <w:t>d</w:t>
            </w:r>
            <w:r w:rsidR="008014A4">
              <w:rPr>
                <w:rFonts w:ascii="Calibri" w:eastAsia="Calibri" w:hAnsi="Calibri" w:cs="Calibri"/>
              </w:rPr>
              <w:t xml:space="preserve"> </w:t>
            </w:r>
            <w:r w:rsidR="009021F2">
              <w:rPr>
                <w:rFonts w:ascii="Calibri" w:eastAsia="Calibri" w:hAnsi="Calibri" w:cs="Calibri"/>
              </w:rPr>
              <w:t>to patients whose condition is impacting on their ability to work</w:t>
            </w:r>
          </w:p>
          <w:p w14:paraId="0AF0085D" w14:textId="09B105F6" w:rsidR="009021F2" w:rsidRDefault="009021F2" w:rsidP="008D6937">
            <w:pPr>
              <w:pStyle w:val="ListParagraph"/>
              <w:numPr>
                <w:ilvl w:val="0"/>
                <w:numId w:val="2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Approx 10 million issue</w:t>
            </w:r>
            <w:r w:rsidR="00CE07DD"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</w:rPr>
              <w:t xml:space="preserve"> each year in general practices in England (not inclusive of secondary care, Scotland and </w:t>
            </w:r>
            <w:r w:rsidR="00CE07DD">
              <w:rPr>
                <w:rFonts w:ascii="Calibri" w:eastAsia="Calibri" w:hAnsi="Calibri" w:cs="Calibri"/>
              </w:rPr>
              <w:t>Wales</w:t>
            </w:r>
            <w:r>
              <w:rPr>
                <w:rFonts w:ascii="Calibri" w:eastAsia="Calibri" w:hAnsi="Calibri" w:cs="Calibri"/>
              </w:rPr>
              <w:t>)</w:t>
            </w:r>
          </w:p>
          <w:p w14:paraId="2B077EAD" w14:textId="77777777" w:rsidR="009021F2" w:rsidRDefault="009021F2" w:rsidP="008D6937">
            <w:pPr>
              <w:pStyle w:val="ListParagraph"/>
              <w:numPr>
                <w:ilvl w:val="0"/>
                <w:numId w:val="2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Most handed to employers for statutory sick pay (80%) and 20% for health related benefits to DWP</w:t>
            </w:r>
          </w:p>
          <w:p w14:paraId="47D4D6C2" w14:textId="77777777" w:rsidR="009021F2" w:rsidRDefault="009021F2" w:rsidP="008D6937">
            <w:pPr>
              <w:pStyle w:val="ListParagraph"/>
              <w:numPr>
                <w:ilvl w:val="0"/>
                <w:numId w:val="2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Came into being in 2010</w:t>
            </w:r>
          </w:p>
          <w:p w14:paraId="6C9E2959" w14:textId="3CBBAB15" w:rsidR="009021F2" w:rsidRPr="00CE07DD" w:rsidRDefault="009021F2" w:rsidP="00074E44">
            <w:pPr>
              <w:pStyle w:val="ListParagraph"/>
              <w:numPr>
                <w:ilvl w:val="0"/>
                <w:numId w:val="23"/>
              </w:numPr>
              <w:rPr>
                <w:rFonts w:ascii="Calibri" w:eastAsia="Calibri" w:hAnsi="Calibri" w:cs="Calibri"/>
              </w:rPr>
            </w:pPr>
            <w:r w:rsidRPr="00CE07DD">
              <w:rPr>
                <w:rFonts w:ascii="Calibri" w:eastAsia="Calibri" w:hAnsi="Calibri" w:cs="Calibri"/>
              </w:rPr>
              <w:t>In 2022 made 2 significant legislative changes</w:t>
            </w:r>
            <w:r w:rsidR="00CE07DD" w:rsidRPr="00CE07DD">
              <w:rPr>
                <w:rFonts w:ascii="Calibri" w:eastAsia="Calibri" w:hAnsi="Calibri" w:cs="Calibri"/>
              </w:rPr>
              <w:t>. In</w:t>
            </w:r>
            <w:r w:rsidRPr="00CE07DD">
              <w:rPr>
                <w:rFonts w:ascii="Calibri" w:eastAsia="Calibri" w:hAnsi="Calibri" w:cs="Calibri"/>
              </w:rPr>
              <w:t xml:space="preserve"> April 2022 removed requirement to have signature in ink and introduced means to be completed and authorised and sent digitally</w:t>
            </w:r>
            <w:r w:rsidR="00CE07DD" w:rsidRPr="00CE07DD">
              <w:rPr>
                <w:rFonts w:ascii="Calibri" w:eastAsia="Calibri" w:hAnsi="Calibri" w:cs="Calibri"/>
              </w:rPr>
              <w:t xml:space="preserve">. </w:t>
            </w:r>
            <w:r w:rsidRPr="00CE07DD">
              <w:rPr>
                <w:rFonts w:ascii="Calibri" w:eastAsia="Calibri" w:hAnsi="Calibri" w:cs="Calibri"/>
              </w:rPr>
              <w:t xml:space="preserve">Later in </w:t>
            </w:r>
            <w:r w:rsidR="00CE07DD">
              <w:rPr>
                <w:rFonts w:ascii="Calibri" w:eastAsia="Calibri" w:hAnsi="Calibri" w:cs="Calibri"/>
              </w:rPr>
              <w:t xml:space="preserve">the </w:t>
            </w:r>
            <w:r w:rsidRPr="00CE07DD">
              <w:rPr>
                <w:rFonts w:ascii="Calibri" w:eastAsia="Calibri" w:hAnsi="Calibri" w:cs="Calibri"/>
              </w:rPr>
              <w:t>year extended certification to nurses, OT, Physiotherapists and pharmacists</w:t>
            </w:r>
            <w:r w:rsidR="00CE07DD">
              <w:rPr>
                <w:rFonts w:ascii="Calibri" w:eastAsia="Calibri" w:hAnsi="Calibri" w:cs="Calibri"/>
              </w:rPr>
              <w:t>,</w:t>
            </w:r>
            <w:r w:rsidRPr="00CE07DD">
              <w:rPr>
                <w:rFonts w:ascii="Calibri" w:eastAsia="Calibri" w:hAnsi="Calibri" w:cs="Calibri"/>
              </w:rPr>
              <w:t xml:space="preserve"> recognising </w:t>
            </w:r>
            <w:r w:rsidR="00CE07DD">
              <w:rPr>
                <w:rFonts w:ascii="Calibri" w:eastAsia="Calibri" w:hAnsi="Calibri" w:cs="Calibri"/>
              </w:rPr>
              <w:t xml:space="preserve">that </w:t>
            </w:r>
            <w:r w:rsidRPr="00CE07DD">
              <w:rPr>
                <w:rFonts w:ascii="Calibri" w:eastAsia="Calibri" w:hAnsi="Calibri" w:cs="Calibri"/>
              </w:rPr>
              <w:t xml:space="preserve">health services </w:t>
            </w:r>
            <w:r w:rsidR="00CE07DD">
              <w:rPr>
                <w:rFonts w:ascii="Calibri" w:eastAsia="Calibri" w:hAnsi="Calibri" w:cs="Calibri"/>
              </w:rPr>
              <w:t xml:space="preserve">are </w:t>
            </w:r>
            <w:r w:rsidRPr="00CE07DD">
              <w:rPr>
                <w:rFonts w:ascii="Calibri" w:eastAsia="Calibri" w:hAnsi="Calibri" w:cs="Calibri"/>
              </w:rPr>
              <w:t>being delivered by MDTs</w:t>
            </w:r>
          </w:p>
          <w:p w14:paraId="1C9CA9B4" w14:textId="4F939368" w:rsidR="009021F2" w:rsidRDefault="009021F2" w:rsidP="008D6937">
            <w:pPr>
              <w:pStyle w:val="ListParagraph"/>
              <w:numPr>
                <w:ilvl w:val="0"/>
                <w:numId w:val="2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Early data showing pharmacists are issuing fit notes and are issuing a higher number than other ‘new professions’</w:t>
            </w:r>
          </w:p>
          <w:p w14:paraId="4F343F36" w14:textId="667AFAC8" w:rsidR="009021F2" w:rsidRDefault="009021F2" w:rsidP="008D6937">
            <w:pPr>
              <w:pStyle w:val="ListParagraph"/>
              <w:numPr>
                <w:ilvl w:val="0"/>
                <w:numId w:val="2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Community pharmacists </w:t>
            </w:r>
            <w:r w:rsidR="00CE07DD">
              <w:rPr>
                <w:rFonts w:ascii="Calibri" w:eastAsia="Calibri" w:hAnsi="Calibri" w:cs="Calibri"/>
              </w:rPr>
              <w:t xml:space="preserve">are </w:t>
            </w:r>
            <w:r>
              <w:rPr>
                <w:rFonts w:ascii="Calibri" w:eastAsia="Calibri" w:hAnsi="Calibri" w:cs="Calibri"/>
              </w:rPr>
              <w:t>not in scope</w:t>
            </w:r>
          </w:p>
          <w:p w14:paraId="4FEEB9A7" w14:textId="498B6790" w:rsidR="009021F2" w:rsidRDefault="009021F2" w:rsidP="008D6937">
            <w:pPr>
              <w:pStyle w:val="ListParagraph"/>
              <w:numPr>
                <w:ilvl w:val="0"/>
                <w:numId w:val="2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Online training package on e-learning for health platform</w:t>
            </w:r>
            <w:r w:rsidR="00CE07DD">
              <w:rPr>
                <w:rFonts w:ascii="Calibri" w:eastAsia="Calibri" w:hAnsi="Calibri" w:cs="Calibri"/>
              </w:rPr>
              <w:t>. This is</w:t>
            </w:r>
            <w:r>
              <w:rPr>
                <w:rFonts w:ascii="Calibri" w:eastAsia="Calibri" w:hAnsi="Calibri" w:cs="Calibri"/>
              </w:rPr>
              <w:t xml:space="preserve"> available to all and </w:t>
            </w:r>
            <w:r w:rsidR="00CE07DD">
              <w:rPr>
                <w:rFonts w:ascii="Calibri" w:eastAsia="Calibri" w:hAnsi="Calibri" w:cs="Calibri"/>
              </w:rPr>
              <w:t xml:space="preserve">anyone issuing fit notes is </w:t>
            </w:r>
            <w:r>
              <w:rPr>
                <w:rFonts w:ascii="Calibri" w:eastAsia="Calibri" w:hAnsi="Calibri" w:cs="Calibri"/>
              </w:rPr>
              <w:t>encouraged to undertake this. Also have guidance products</w:t>
            </w:r>
          </w:p>
          <w:p w14:paraId="1162292B" w14:textId="351547CC" w:rsidR="009021F2" w:rsidRDefault="009021F2" w:rsidP="008D6937">
            <w:pPr>
              <w:pStyle w:val="ListParagraph"/>
              <w:numPr>
                <w:ilvl w:val="0"/>
                <w:numId w:val="2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Approx 900 pharmacists </w:t>
            </w:r>
            <w:r w:rsidR="00CE07DD">
              <w:rPr>
                <w:rFonts w:ascii="Calibri" w:eastAsia="Calibri" w:hAnsi="Calibri" w:cs="Calibri"/>
              </w:rPr>
              <w:t xml:space="preserve">have </w:t>
            </w:r>
            <w:r>
              <w:rPr>
                <w:rFonts w:ascii="Calibri" w:eastAsia="Calibri" w:hAnsi="Calibri" w:cs="Calibri"/>
              </w:rPr>
              <w:t>undertaken training</w:t>
            </w:r>
          </w:p>
          <w:p w14:paraId="42853286" w14:textId="5538B7EA" w:rsidR="008014A4" w:rsidRDefault="008014A4" w:rsidP="008D6937">
            <w:pPr>
              <w:pStyle w:val="ListParagraph"/>
              <w:numPr>
                <w:ilvl w:val="0"/>
                <w:numId w:val="2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Will be evaluating changes, measuring success and making any changes necessary</w:t>
            </w:r>
          </w:p>
          <w:p w14:paraId="22783D28" w14:textId="656902B9" w:rsidR="008014A4" w:rsidRDefault="008014A4" w:rsidP="008D6937">
            <w:pPr>
              <w:pStyle w:val="ListParagraph"/>
              <w:numPr>
                <w:ilvl w:val="0"/>
                <w:numId w:val="2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Revising guidance to have more of a focus on work and health and the conversation leading up to the issuing of a fit note. </w:t>
            </w:r>
            <w:r w:rsidR="00CE07DD">
              <w:rPr>
                <w:rFonts w:ascii="Calibri" w:eastAsia="Calibri" w:hAnsi="Calibri" w:cs="Calibri"/>
              </w:rPr>
              <w:t xml:space="preserve">This will be available  </w:t>
            </w:r>
            <w:r>
              <w:rPr>
                <w:rFonts w:ascii="Calibri" w:eastAsia="Calibri" w:hAnsi="Calibri" w:cs="Calibri"/>
              </w:rPr>
              <w:t>later this summer</w:t>
            </w:r>
          </w:p>
          <w:p w14:paraId="7F17E676" w14:textId="7C6D032D" w:rsidR="008014A4" w:rsidRDefault="008014A4" w:rsidP="008D6937">
            <w:pPr>
              <w:pStyle w:val="ListParagraph"/>
              <w:numPr>
                <w:ilvl w:val="0"/>
                <w:numId w:val="2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Bring</w:t>
            </w:r>
            <w:r w:rsidR="00CE07DD">
              <w:rPr>
                <w:rFonts w:ascii="Calibri" w:eastAsia="Calibri" w:hAnsi="Calibri" w:cs="Calibri"/>
              </w:rPr>
              <w:t>ing</w:t>
            </w:r>
            <w:r>
              <w:rPr>
                <w:rFonts w:ascii="Calibri" w:eastAsia="Calibri" w:hAnsi="Calibri" w:cs="Calibri"/>
              </w:rPr>
              <w:t xml:space="preserve"> secondary care in line with primary care – embed in secondary care IT systems</w:t>
            </w:r>
          </w:p>
          <w:p w14:paraId="5DDCDA77" w14:textId="77777777" w:rsidR="00A92637" w:rsidRDefault="00A92637" w:rsidP="00A92637">
            <w:pPr>
              <w:pStyle w:val="ListParagraph"/>
              <w:rPr>
                <w:rFonts w:ascii="Calibri" w:eastAsia="Calibri" w:hAnsi="Calibri" w:cs="Calibri"/>
              </w:rPr>
            </w:pPr>
          </w:p>
          <w:p w14:paraId="607D11E2" w14:textId="328E3227" w:rsidR="008014A4" w:rsidRPr="008D6937" w:rsidRDefault="008014A4" w:rsidP="008D6937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008D6937">
              <w:rPr>
                <w:rFonts w:ascii="Calibri" w:eastAsia="Calibri" w:hAnsi="Calibri" w:cs="Calibri"/>
                <w:b/>
                <w:bCs/>
                <w:i/>
                <w:iCs/>
              </w:rPr>
              <w:t>Feedback and discussion</w:t>
            </w:r>
          </w:p>
          <w:p w14:paraId="01F04937" w14:textId="77777777" w:rsidR="008014A4" w:rsidRDefault="008014A4" w:rsidP="008D6937">
            <w:pPr>
              <w:pStyle w:val="ListParagraph"/>
              <w:numPr>
                <w:ilvl w:val="0"/>
                <w:numId w:val="2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Reticent to issue fit notes as concerns that GPs will ‘dump’ workload on pharmacist</w:t>
            </w:r>
          </w:p>
          <w:p w14:paraId="723A32A9" w14:textId="77777777" w:rsidR="008014A4" w:rsidRDefault="008014A4" w:rsidP="008D6937">
            <w:pPr>
              <w:pStyle w:val="ListParagraph"/>
              <w:numPr>
                <w:ilvl w:val="0"/>
                <w:numId w:val="2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Happy to issue fit notes when appropriate</w:t>
            </w:r>
          </w:p>
          <w:p w14:paraId="3CB842F0" w14:textId="77777777" w:rsidR="008014A4" w:rsidRDefault="008014A4" w:rsidP="008D6937">
            <w:pPr>
              <w:pStyle w:val="ListParagraph"/>
              <w:numPr>
                <w:ilvl w:val="0"/>
                <w:numId w:val="2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Practice based pharmacists coming to senior pharmacist seeking guidance on this issue</w:t>
            </w:r>
          </w:p>
          <w:p w14:paraId="741F5632" w14:textId="77777777" w:rsidR="008014A4" w:rsidRDefault="008014A4" w:rsidP="008D6937">
            <w:pPr>
              <w:pStyle w:val="ListParagraph"/>
              <w:numPr>
                <w:ilvl w:val="0"/>
                <w:numId w:val="2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Should only be issuing if it is the pharmacist’s patient and not seen as an admin task</w:t>
            </w:r>
          </w:p>
          <w:p w14:paraId="3E4F7BEE" w14:textId="77777777" w:rsidR="008014A4" w:rsidRDefault="008014A4" w:rsidP="008D6937">
            <w:pPr>
              <w:pStyle w:val="ListParagraph"/>
              <w:numPr>
                <w:ilvl w:val="0"/>
                <w:numId w:val="2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Unless you see and assess the patient then you should not be issuing a fit note and potentially issues of liability here</w:t>
            </w:r>
          </w:p>
          <w:p w14:paraId="3872782B" w14:textId="77777777" w:rsidR="008014A4" w:rsidRDefault="008014A4" w:rsidP="008D6937">
            <w:pPr>
              <w:pStyle w:val="ListParagraph"/>
              <w:numPr>
                <w:ilvl w:val="0"/>
                <w:numId w:val="2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Welcome secondary care being able to issue fit notes</w:t>
            </w:r>
          </w:p>
          <w:p w14:paraId="4BAA6698" w14:textId="56EC6C68" w:rsidR="008D6937" w:rsidRDefault="008D6937" w:rsidP="008D6937">
            <w:pPr>
              <w:pStyle w:val="ListParagraph"/>
              <w:numPr>
                <w:ilvl w:val="0"/>
                <w:numId w:val="2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Case studies to capture scenarios</w:t>
            </w:r>
          </w:p>
          <w:p w14:paraId="363400CD" w14:textId="77777777" w:rsidR="008014A4" w:rsidRDefault="008014A4" w:rsidP="008D6937">
            <w:pPr>
              <w:rPr>
                <w:rFonts w:ascii="Calibri" w:eastAsia="Calibri" w:hAnsi="Calibri" w:cs="Calibri"/>
              </w:rPr>
            </w:pPr>
          </w:p>
          <w:p w14:paraId="43E80986" w14:textId="23CFA585" w:rsidR="008D6937" w:rsidRPr="008D6937" w:rsidRDefault="008D6937" w:rsidP="008D6937">
            <w:pPr>
              <w:rPr>
                <w:rFonts w:ascii="Calibri" w:eastAsia="Calibri" w:hAnsi="Calibri" w:cs="Calibri"/>
                <w:b/>
                <w:bCs/>
              </w:rPr>
            </w:pPr>
            <w:r w:rsidRPr="008D6937">
              <w:rPr>
                <w:rFonts w:ascii="Calibri" w:eastAsia="Calibri" w:hAnsi="Calibri" w:cs="Calibri"/>
                <w:b/>
                <w:bCs/>
              </w:rPr>
              <w:t>ACTIONS</w:t>
            </w:r>
          </w:p>
          <w:p w14:paraId="101878DB" w14:textId="768D09AC" w:rsidR="008D6937" w:rsidRPr="008D6937" w:rsidRDefault="008D6937" w:rsidP="008D6937">
            <w:pPr>
              <w:pStyle w:val="ListParagraph"/>
              <w:numPr>
                <w:ilvl w:val="0"/>
                <w:numId w:val="23"/>
              </w:numPr>
              <w:rPr>
                <w:rFonts w:ascii="Calibri" w:eastAsia="Calibri" w:hAnsi="Calibri" w:cs="Calibri"/>
              </w:rPr>
            </w:pPr>
            <w:r w:rsidRPr="008D6937">
              <w:rPr>
                <w:rFonts w:ascii="Calibri" w:eastAsia="Calibri" w:hAnsi="Calibri" w:cs="Calibri"/>
              </w:rPr>
              <w:t xml:space="preserve">Further comments to be sent to </w:t>
            </w:r>
            <w:r w:rsidR="00160F79">
              <w:rPr>
                <w:rFonts w:ascii="Calibri" w:eastAsia="Calibri" w:hAnsi="Calibri" w:cs="Calibri"/>
              </w:rPr>
              <w:t>Wing Tang</w:t>
            </w:r>
          </w:p>
          <w:p w14:paraId="0EB39AF6" w14:textId="77777777" w:rsidR="008D6937" w:rsidRDefault="008D6937" w:rsidP="008D6937">
            <w:pPr>
              <w:pStyle w:val="ListParagraph"/>
              <w:numPr>
                <w:ilvl w:val="0"/>
                <w:numId w:val="23"/>
              </w:numPr>
              <w:rPr>
                <w:rFonts w:ascii="Calibri" w:eastAsia="Calibri" w:hAnsi="Calibri" w:cs="Calibri"/>
              </w:rPr>
            </w:pPr>
            <w:r w:rsidRPr="008D6937">
              <w:rPr>
                <w:rFonts w:ascii="Calibri" w:eastAsia="Calibri" w:hAnsi="Calibri" w:cs="Calibri"/>
              </w:rPr>
              <w:t>Case studies</w:t>
            </w:r>
          </w:p>
          <w:p w14:paraId="4B96EC70" w14:textId="77F968DD" w:rsidR="008D6937" w:rsidRDefault="008D6937" w:rsidP="008D6937">
            <w:pPr>
              <w:pStyle w:val="ListParagraph"/>
              <w:numPr>
                <w:ilvl w:val="0"/>
                <w:numId w:val="24"/>
              </w:numPr>
              <w:rPr>
                <w:rFonts w:ascii="Calibri" w:eastAsia="Calibri" w:hAnsi="Calibri" w:cs="Calibri"/>
              </w:rPr>
            </w:pPr>
            <w:r w:rsidRPr="008D6937">
              <w:rPr>
                <w:rFonts w:ascii="Calibri" w:eastAsia="Calibri" w:hAnsi="Calibri" w:cs="Calibri"/>
              </w:rPr>
              <w:t xml:space="preserve">GS to provide one on positive issue </w:t>
            </w:r>
          </w:p>
          <w:p w14:paraId="3F1784C8" w14:textId="76E147E2" w:rsidR="008D6937" w:rsidRDefault="008D6937" w:rsidP="008D6937">
            <w:pPr>
              <w:pStyle w:val="ListParagraph"/>
              <w:numPr>
                <w:ilvl w:val="0"/>
                <w:numId w:val="24"/>
              </w:numPr>
              <w:rPr>
                <w:rFonts w:ascii="Calibri" w:eastAsia="Calibri" w:hAnsi="Calibri" w:cs="Calibri"/>
              </w:rPr>
            </w:pPr>
            <w:r w:rsidRPr="008D6937">
              <w:rPr>
                <w:rFonts w:ascii="Calibri" w:eastAsia="Calibri" w:hAnsi="Calibri" w:cs="Calibri"/>
              </w:rPr>
              <w:t xml:space="preserve">LH and CH to ask on </w:t>
            </w:r>
            <w:r w:rsidR="00CE07DD">
              <w:rPr>
                <w:rFonts w:ascii="Calibri" w:eastAsia="Calibri" w:hAnsi="Calibri" w:cs="Calibri"/>
              </w:rPr>
              <w:t xml:space="preserve">local </w:t>
            </w:r>
            <w:r w:rsidRPr="008D6937">
              <w:rPr>
                <w:rFonts w:ascii="Calibri" w:eastAsia="Calibri" w:hAnsi="Calibri" w:cs="Calibri"/>
              </w:rPr>
              <w:t>teams chat for example when issuing under pressure</w:t>
            </w:r>
          </w:p>
          <w:p w14:paraId="3BE32E2D" w14:textId="3638E0DE" w:rsidR="008D6937" w:rsidRPr="008D6937" w:rsidRDefault="008D6937" w:rsidP="008D6937">
            <w:pPr>
              <w:pStyle w:val="ListParagraph"/>
              <w:ind w:left="1080"/>
              <w:rPr>
                <w:rFonts w:ascii="Calibri" w:eastAsia="Calibri" w:hAnsi="Calibri" w:cs="Calibri"/>
              </w:rPr>
            </w:pPr>
          </w:p>
        </w:tc>
      </w:tr>
    </w:tbl>
    <w:p w14:paraId="5B31DA4B" w14:textId="229054B3" w:rsidR="00355A75" w:rsidRDefault="00355A75" w:rsidP="004130F1">
      <w:pPr>
        <w:spacing w:after="0"/>
      </w:pPr>
    </w:p>
    <w:p w14:paraId="6F100AB2" w14:textId="22EE68B0" w:rsidR="0072482C" w:rsidRPr="007D1116" w:rsidRDefault="00355A75" w:rsidP="1CEEC284">
      <w:pPr>
        <w:keepNext/>
        <w:keepLines/>
        <w:pBdr>
          <w:bottom w:val="single" w:sz="4" w:space="1" w:color="auto"/>
        </w:pBdr>
        <w:shd w:val="clear" w:color="auto" w:fill="DEEAF6" w:themeFill="accent5" w:themeFillTint="33"/>
        <w:spacing w:before="40" w:after="0"/>
        <w:outlineLvl w:val="1"/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  <w:lang w:val="fr-FR"/>
        </w:rPr>
      </w:pPr>
      <w:r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  <w:lang w:val="fr-FR"/>
        </w:rPr>
        <w:t>3</w:t>
      </w:r>
      <w:r w:rsidR="1CEEC284" w:rsidRPr="1CEEC284"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  <w:lang w:val="fr-FR"/>
        </w:rPr>
        <w:t xml:space="preserve">:   </w:t>
      </w:r>
      <w:proofErr w:type="spellStart"/>
      <w:r w:rsidR="00854AC4"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  <w:lang w:val="fr-FR"/>
        </w:rPr>
        <w:t>Repeat</w:t>
      </w:r>
      <w:proofErr w:type="spellEnd"/>
      <w:r w:rsidR="00854AC4"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  <w:lang w:val="fr-FR"/>
        </w:rPr>
        <w:t xml:space="preserve"> Prescribing (</w:t>
      </w:r>
      <w:proofErr w:type="spellStart"/>
      <w:r w:rsidR="00160F79"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  <w:lang w:val="fr-FR"/>
        </w:rPr>
        <w:t>Recomme</w:t>
      </w:r>
      <w:r w:rsidR="008014A4"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  <w:lang w:val="fr-FR"/>
        </w:rPr>
        <w:t>ndation</w:t>
      </w:r>
      <w:proofErr w:type="spellEnd"/>
      <w:r w:rsidR="00854AC4"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  <w:lang w:val="fr-FR"/>
        </w:rPr>
        <w:t xml:space="preserve"> 7 </w:t>
      </w:r>
      <w:proofErr w:type="spellStart"/>
      <w:r w:rsidR="00854AC4"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  <w:lang w:val="fr-FR"/>
        </w:rPr>
        <w:t>from</w:t>
      </w:r>
      <w:proofErr w:type="spellEnd"/>
      <w:r w:rsidR="00854AC4"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  <w:lang w:val="fr-FR"/>
        </w:rPr>
        <w:t xml:space="preserve"> the National </w:t>
      </w:r>
      <w:proofErr w:type="spellStart"/>
      <w:r w:rsidR="00854AC4"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  <w:lang w:val="fr-FR"/>
        </w:rPr>
        <w:t>Overprescribing</w:t>
      </w:r>
      <w:proofErr w:type="spellEnd"/>
      <w:r w:rsidR="00854AC4"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  <w:lang w:val="fr-FR"/>
        </w:rPr>
        <w:t xml:space="preserve"> Review) (30 mins)</w:t>
      </w:r>
      <w:r w:rsidR="1CEEC284" w:rsidRPr="1CEEC284"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  <w:lang w:val="fr-FR"/>
        </w:rPr>
        <w:t xml:space="preserve"> –</w:t>
      </w:r>
      <w:r w:rsidR="00854AC4"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  <w:lang w:val="fr-FR"/>
        </w:rPr>
        <w:t xml:space="preserve"> Jenny Allen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335"/>
        <w:gridCol w:w="7681"/>
      </w:tblGrid>
      <w:tr w:rsidR="007510AD" w14:paraId="104B6B1A" w14:textId="77777777" w:rsidTr="1CEEC284">
        <w:trPr>
          <w:trHeight w:val="451"/>
        </w:trPr>
        <w:tc>
          <w:tcPr>
            <w:tcW w:w="1335" w:type="dxa"/>
          </w:tcPr>
          <w:p w14:paraId="527ED2A2" w14:textId="1A263DC9" w:rsidR="007510AD" w:rsidRPr="00C90D6E" w:rsidRDefault="007510AD" w:rsidP="00B37E84">
            <w:pPr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7681" w:type="dxa"/>
          </w:tcPr>
          <w:p w14:paraId="6492D892" w14:textId="77777777" w:rsidR="007D1116" w:rsidRDefault="00854AC4" w:rsidP="00854AC4">
            <w:r w:rsidRPr="00854AC4">
              <w:t>The Royal Pharmaceutical Society (RPS) has been commissioned by NHS England to work in</w:t>
            </w:r>
            <w:r>
              <w:t xml:space="preserve"> </w:t>
            </w:r>
            <w:r w:rsidRPr="00854AC4">
              <w:t>collaboration with The Royal College of General Practitioners (RCGP) to create guidance on repeat</w:t>
            </w:r>
            <w:r>
              <w:t xml:space="preserve"> </w:t>
            </w:r>
            <w:r w:rsidRPr="00854AC4">
              <w:t>prescribing in England.</w:t>
            </w:r>
          </w:p>
          <w:p w14:paraId="6663734E" w14:textId="5E93BBA7" w:rsidR="00854AC4" w:rsidRDefault="00854AC4" w:rsidP="00854AC4"/>
        </w:tc>
      </w:tr>
      <w:tr w:rsidR="0072482C" w14:paraId="3258CCBD" w14:textId="77777777" w:rsidTr="1CEEC284">
        <w:trPr>
          <w:trHeight w:val="608"/>
        </w:trPr>
        <w:tc>
          <w:tcPr>
            <w:tcW w:w="1335" w:type="dxa"/>
          </w:tcPr>
          <w:p w14:paraId="55774161" w14:textId="77777777" w:rsidR="0072482C" w:rsidRPr="00C90D6E" w:rsidRDefault="0072482C" w:rsidP="00B37E84">
            <w:pPr>
              <w:rPr>
                <w:b/>
                <w:bCs/>
              </w:rPr>
            </w:pPr>
            <w:r w:rsidRPr="00C90D6E">
              <w:rPr>
                <w:b/>
                <w:bCs/>
              </w:rPr>
              <w:t>Purpose</w:t>
            </w:r>
          </w:p>
        </w:tc>
        <w:tc>
          <w:tcPr>
            <w:tcW w:w="7681" w:type="dxa"/>
          </w:tcPr>
          <w:p w14:paraId="5C6BE5B9" w14:textId="09242680" w:rsidR="00AB2248" w:rsidRDefault="00854AC4" w:rsidP="00782D7B">
            <w:r>
              <w:t>To get insight and feedback from PCPEAG members on this topic</w:t>
            </w:r>
          </w:p>
        </w:tc>
      </w:tr>
      <w:tr w:rsidR="0072482C" w14:paraId="4F8AC75B" w14:textId="77777777" w:rsidTr="1CEEC284">
        <w:trPr>
          <w:trHeight w:val="528"/>
        </w:trPr>
        <w:tc>
          <w:tcPr>
            <w:tcW w:w="1335" w:type="dxa"/>
          </w:tcPr>
          <w:p w14:paraId="13B34308" w14:textId="77777777" w:rsidR="0072482C" w:rsidRPr="00C90D6E" w:rsidRDefault="0072482C" w:rsidP="00B37E84">
            <w:pPr>
              <w:rPr>
                <w:b/>
                <w:bCs/>
              </w:rPr>
            </w:pPr>
            <w:r>
              <w:rPr>
                <w:b/>
                <w:bCs/>
              </w:rPr>
              <w:t>Outcome</w:t>
            </w:r>
            <w:r w:rsidRPr="00C90D6E">
              <w:rPr>
                <w:b/>
                <w:bCs/>
              </w:rPr>
              <w:t>s</w:t>
            </w:r>
          </w:p>
        </w:tc>
        <w:tc>
          <w:tcPr>
            <w:tcW w:w="7681" w:type="dxa"/>
          </w:tcPr>
          <w:p w14:paraId="549E0273" w14:textId="77777777" w:rsidR="0072482C" w:rsidRDefault="008D6937" w:rsidP="008D6937">
            <w:pPr>
              <w:pStyle w:val="ListParagraph"/>
              <w:numPr>
                <w:ilvl w:val="0"/>
                <w:numId w:val="26"/>
              </w:numPr>
            </w:pPr>
            <w:r>
              <w:t>Presentation shared with group</w:t>
            </w:r>
          </w:p>
          <w:p w14:paraId="652933A5" w14:textId="77777777" w:rsidR="008D6937" w:rsidRDefault="007305A7" w:rsidP="008D6937">
            <w:pPr>
              <w:pStyle w:val="ListParagraph"/>
              <w:numPr>
                <w:ilvl w:val="0"/>
                <w:numId w:val="26"/>
              </w:numPr>
            </w:pPr>
            <w:r>
              <w:t>Tools to analyse repeats and make appropriate interventions</w:t>
            </w:r>
          </w:p>
          <w:p w14:paraId="2698BFBE" w14:textId="77777777" w:rsidR="007305A7" w:rsidRDefault="007305A7" w:rsidP="008D6937">
            <w:pPr>
              <w:pStyle w:val="ListParagraph"/>
              <w:numPr>
                <w:ilvl w:val="0"/>
                <w:numId w:val="26"/>
              </w:numPr>
            </w:pPr>
            <w:r>
              <w:t>Generally pharmacists in general practice oversee this process</w:t>
            </w:r>
          </w:p>
          <w:p w14:paraId="073D6138" w14:textId="77777777" w:rsidR="00A92637" w:rsidRDefault="00A92637" w:rsidP="00A92637"/>
          <w:p w14:paraId="10818351" w14:textId="77777777" w:rsidR="00A92637" w:rsidRPr="00F45438" w:rsidRDefault="00A92637" w:rsidP="00A92637">
            <w:pPr>
              <w:rPr>
                <w:b/>
                <w:bCs/>
              </w:rPr>
            </w:pPr>
            <w:r w:rsidRPr="00F45438">
              <w:rPr>
                <w:b/>
                <w:bCs/>
              </w:rPr>
              <w:t>ACTIONS</w:t>
            </w:r>
          </w:p>
          <w:p w14:paraId="4DABF388" w14:textId="5AE16A93" w:rsidR="00A92637" w:rsidRDefault="00A92637" w:rsidP="00A92637">
            <w:pPr>
              <w:pStyle w:val="ListParagraph"/>
              <w:numPr>
                <w:ilvl w:val="0"/>
                <w:numId w:val="31"/>
              </w:numPr>
            </w:pPr>
            <w:r>
              <w:t xml:space="preserve">Group members to send examples of good practice to </w:t>
            </w:r>
            <w:hyperlink r:id="rId7" w:history="1">
              <w:r w:rsidR="00F45438" w:rsidRPr="00A92389">
                <w:rPr>
                  <w:rStyle w:val="Hyperlink"/>
                </w:rPr>
                <w:t>repeatprescribing@rpharms.com</w:t>
              </w:r>
            </w:hyperlink>
          </w:p>
          <w:p w14:paraId="5F1F519C" w14:textId="04B92423" w:rsidR="00F45438" w:rsidRPr="00CA621E" w:rsidRDefault="00F45438" w:rsidP="00F45438">
            <w:pPr>
              <w:pStyle w:val="ListParagraph"/>
            </w:pPr>
          </w:p>
        </w:tc>
      </w:tr>
    </w:tbl>
    <w:p w14:paraId="721B9708" w14:textId="77777777" w:rsidR="0072482C" w:rsidRDefault="0072482C" w:rsidP="004130F1">
      <w:pPr>
        <w:spacing w:after="0"/>
      </w:pPr>
    </w:p>
    <w:p w14:paraId="19DB8733" w14:textId="5CA3EEEE" w:rsidR="007913BF" w:rsidRDefault="00355A75" w:rsidP="007913BF">
      <w:pPr>
        <w:pStyle w:val="Heading2"/>
        <w:pBdr>
          <w:bottom w:val="single" w:sz="4" w:space="1" w:color="auto"/>
        </w:pBdr>
        <w:shd w:val="clear" w:color="auto" w:fill="DEEAF6" w:themeFill="accent5" w:themeFillTint="33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4</w:t>
      </w:r>
      <w:r w:rsidR="5A8CE91A" w:rsidRPr="5A8CE91A">
        <w:rPr>
          <w:b/>
          <w:bCs/>
          <w:color w:val="000000" w:themeColor="text1"/>
        </w:rPr>
        <w:t xml:space="preserve">: </w:t>
      </w:r>
      <w:r w:rsidR="00854AC4">
        <w:rPr>
          <w:b/>
          <w:bCs/>
          <w:color w:val="000000" w:themeColor="text1"/>
        </w:rPr>
        <w:t xml:space="preserve">Pharmacist Independent Prescribing: Issue of prescribing and dispensing / supply by </w:t>
      </w:r>
      <w:r>
        <w:rPr>
          <w:b/>
          <w:bCs/>
          <w:color w:val="000000" w:themeColor="text1"/>
        </w:rPr>
        <w:t>the s</w:t>
      </w:r>
      <w:r w:rsidR="00854AC4">
        <w:rPr>
          <w:b/>
          <w:bCs/>
          <w:color w:val="000000" w:themeColor="text1"/>
        </w:rPr>
        <w:t xml:space="preserve">ame individual </w:t>
      </w:r>
      <w:r w:rsidR="5A8CE91A" w:rsidRPr="5A8CE91A">
        <w:rPr>
          <w:b/>
          <w:bCs/>
          <w:color w:val="000000" w:themeColor="text1"/>
        </w:rPr>
        <w:t>(</w:t>
      </w:r>
      <w:r w:rsidR="00854AC4">
        <w:rPr>
          <w:b/>
          <w:bCs/>
          <w:color w:val="000000" w:themeColor="text1"/>
        </w:rPr>
        <w:t>3</w:t>
      </w:r>
      <w:r w:rsidR="5A8CE91A" w:rsidRPr="5A8CE91A">
        <w:rPr>
          <w:b/>
          <w:bCs/>
          <w:color w:val="000000" w:themeColor="text1"/>
        </w:rPr>
        <w:t xml:space="preserve">0 mins) </w:t>
      </w:r>
      <w:r w:rsidR="007D1116">
        <w:rPr>
          <w:b/>
          <w:bCs/>
          <w:color w:val="000000" w:themeColor="text1"/>
        </w:rPr>
        <w:t>–</w:t>
      </w:r>
      <w:r w:rsidR="5A8CE91A" w:rsidRPr="5A8CE91A">
        <w:rPr>
          <w:b/>
          <w:bCs/>
          <w:color w:val="000000" w:themeColor="text1"/>
        </w:rPr>
        <w:t xml:space="preserve"> </w:t>
      </w:r>
      <w:r w:rsidR="00854AC4">
        <w:rPr>
          <w:b/>
          <w:bCs/>
          <w:color w:val="000000" w:themeColor="text1"/>
        </w:rPr>
        <w:t>Heidi Wright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335"/>
        <w:gridCol w:w="7681"/>
      </w:tblGrid>
      <w:tr w:rsidR="007913BF" w14:paraId="4F92E3D0" w14:textId="77777777" w:rsidTr="1CEEC284">
        <w:trPr>
          <w:trHeight w:val="273"/>
        </w:trPr>
        <w:tc>
          <w:tcPr>
            <w:tcW w:w="1335" w:type="dxa"/>
          </w:tcPr>
          <w:p w14:paraId="15DE810D" w14:textId="77777777" w:rsidR="007913BF" w:rsidRPr="004237B3" w:rsidRDefault="007913BF" w:rsidP="00A773D9">
            <w:pPr>
              <w:rPr>
                <w:b/>
                <w:bCs/>
              </w:rPr>
            </w:pPr>
            <w:r w:rsidRPr="004237B3">
              <w:rPr>
                <w:b/>
                <w:bCs/>
              </w:rPr>
              <w:t>Description</w:t>
            </w:r>
          </w:p>
        </w:tc>
        <w:tc>
          <w:tcPr>
            <w:tcW w:w="7681" w:type="dxa"/>
          </w:tcPr>
          <w:p w14:paraId="1A35E168" w14:textId="080947A0" w:rsidR="007D1116" w:rsidRDefault="00854AC4" w:rsidP="00854AC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As all newly qualified pharmacists will be independent prescribers, we need to explore the issue of prescribing and dispensing by the same </w:t>
            </w:r>
            <w:r w:rsidR="00355A75">
              <w:rPr>
                <w:rFonts w:cstheme="minorHAnsi"/>
              </w:rPr>
              <w:t>individual and</w:t>
            </w:r>
            <w:r>
              <w:rPr>
                <w:rFonts w:cstheme="minorHAnsi"/>
              </w:rPr>
              <w:t xml:space="preserve"> develop policy in this area. </w:t>
            </w:r>
          </w:p>
          <w:p w14:paraId="14099B2E" w14:textId="7FA5E457" w:rsidR="00854AC4" w:rsidRPr="004237B3" w:rsidRDefault="00854AC4" w:rsidP="00854AC4">
            <w:pPr>
              <w:rPr>
                <w:rFonts w:cstheme="minorHAnsi"/>
              </w:rPr>
            </w:pPr>
          </w:p>
        </w:tc>
      </w:tr>
      <w:tr w:rsidR="007913BF" w14:paraId="60CF2669" w14:textId="77777777" w:rsidTr="1CEEC284">
        <w:trPr>
          <w:trHeight w:val="638"/>
        </w:trPr>
        <w:tc>
          <w:tcPr>
            <w:tcW w:w="1335" w:type="dxa"/>
          </w:tcPr>
          <w:p w14:paraId="513A93EE" w14:textId="77777777" w:rsidR="007913BF" w:rsidRPr="004237B3" w:rsidRDefault="007913BF" w:rsidP="00A773D9">
            <w:pPr>
              <w:rPr>
                <w:b/>
                <w:bCs/>
              </w:rPr>
            </w:pPr>
            <w:r w:rsidRPr="004237B3">
              <w:rPr>
                <w:b/>
                <w:bCs/>
              </w:rPr>
              <w:t>Purpose</w:t>
            </w:r>
          </w:p>
        </w:tc>
        <w:tc>
          <w:tcPr>
            <w:tcW w:w="7681" w:type="dxa"/>
          </w:tcPr>
          <w:p w14:paraId="4F49E47B" w14:textId="77B8AFF5" w:rsidR="00035C75" w:rsidRPr="007B312E" w:rsidRDefault="00854AC4" w:rsidP="00854AC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 ask PCPEAG members for their thoughts and experience in this area to help inform the development of RPS policy.</w:t>
            </w:r>
          </w:p>
        </w:tc>
      </w:tr>
      <w:tr w:rsidR="007913BF" w14:paraId="064CD4FD" w14:textId="77777777" w:rsidTr="1CEEC284">
        <w:trPr>
          <w:trHeight w:val="568"/>
        </w:trPr>
        <w:tc>
          <w:tcPr>
            <w:tcW w:w="1335" w:type="dxa"/>
          </w:tcPr>
          <w:p w14:paraId="06018149" w14:textId="77777777" w:rsidR="007913BF" w:rsidRPr="004237B3" w:rsidRDefault="007913BF" w:rsidP="00A773D9">
            <w:pPr>
              <w:rPr>
                <w:b/>
                <w:bCs/>
              </w:rPr>
            </w:pPr>
            <w:r w:rsidRPr="004237B3">
              <w:rPr>
                <w:b/>
                <w:bCs/>
              </w:rPr>
              <w:t>Outcomes</w:t>
            </w:r>
          </w:p>
        </w:tc>
        <w:tc>
          <w:tcPr>
            <w:tcW w:w="7681" w:type="dxa"/>
          </w:tcPr>
          <w:p w14:paraId="60AA83E8" w14:textId="77777777" w:rsidR="007510AD" w:rsidRDefault="008D6937" w:rsidP="008D6937">
            <w:pPr>
              <w:pStyle w:val="ListParagraph"/>
              <w:numPr>
                <w:ilvl w:val="0"/>
                <w:numId w:val="27"/>
              </w:numPr>
            </w:pPr>
            <w:r>
              <w:t>Presentation shared with group</w:t>
            </w:r>
          </w:p>
          <w:p w14:paraId="4CE757D5" w14:textId="616AB9A3" w:rsidR="0054181D" w:rsidRDefault="0054181D" w:rsidP="008D6937">
            <w:pPr>
              <w:pStyle w:val="ListParagraph"/>
              <w:numPr>
                <w:ilvl w:val="0"/>
                <w:numId w:val="27"/>
              </w:numPr>
            </w:pPr>
            <w:r>
              <w:t>Example</w:t>
            </w:r>
            <w:r w:rsidR="00CE07DD">
              <w:t xml:space="preserve"> shared</w:t>
            </w:r>
            <w:r>
              <w:t xml:space="preserve"> of prescribing and dispensing CDs by opening up a pharmacy at midnight</w:t>
            </w:r>
          </w:p>
          <w:p w14:paraId="71C9F280" w14:textId="66E1038A" w:rsidR="0054181D" w:rsidRDefault="0054181D" w:rsidP="008D6937">
            <w:pPr>
              <w:pStyle w:val="ListParagraph"/>
              <w:numPr>
                <w:ilvl w:val="0"/>
                <w:numId w:val="27"/>
              </w:numPr>
            </w:pPr>
            <w:r>
              <w:t>Having support staff to help with accuracy check (ACT)</w:t>
            </w:r>
            <w:r w:rsidR="00CE07DD">
              <w:t xml:space="preserve"> is important</w:t>
            </w:r>
          </w:p>
          <w:p w14:paraId="243495B5" w14:textId="1526D2CB" w:rsidR="0054181D" w:rsidRDefault="0054181D" w:rsidP="008D6937">
            <w:pPr>
              <w:pStyle w:val="ListParagraph"/>
              <w:numPr>
                <w:ilvl w:val="0"/>
                <w:numId w:val="27"/>
              </w:numPr>
            </w:pPr>
            <w:r>
              <w:t xml:space="preserve">Times have moved on and pharmacists increasing in different </w:t>
            </w:r>
            <w:r w:rsidR="005F1CF0">
              <w:t>spheres</w:t>
            </w:r>
            <w:r>
              <w:t xml:space="preserve"> of practice</w:t>
            </w:r>
            <w:r w:rsidR="00CE07DD">
              <w:t xml:space="preserve"> </w:t>
            </w:r>
            <w:r w:rsidR="005F1CF0">
              <w:t>– we have moved on a long way</w:t>
            </w:r>
          </w:p>
          <w:p w14:paraId="3EA354EC" w14:textId="63878270" w:rsidR="005F1CF0" w:rsidRDefault="0054181D" w:rsidP="008D6937">
            <w:pPr>
              <w:pStyle w:val="ListParagraph"/>
              <w:numPr>
                <w:ilvl w:val="0"/>
                <w:numId w:val="27"/>
              </w:numPr>
            </w:pPr>
            <w:r>
              <w:t>Remove exceptionally entirely and put mitigations in place such as having full access to notes</w:t>
            </w:r>
            <w:r w:rsidR="005F1CF0">
              <w:t>, record mitigations as part of professionalism</w:t>
            </w:r>
          </w:p>
          <w:p w14:paraId="096CB76D" w14:textId="77777777" w:rsidR="0054181D" w:rsidRDefault="005F1CF0" w:rsidP="008D6937">
            <w:pPr>
              <w:pStyle w:val="ListParagraph"/>
              <w:numPr>
                <w:ilvl w:val="0"/>
                <w:numId w:val="27"/>
              </w:numPr>
            </w:pPr>
            <w:r>
              <w:t>Education around what it is you are doing in terms of prescribing</w:t>
            </w:r>
          </w:p>
          <w:p w14:paraId="2C8C6A50" w14:textId="77777777" w:rsidR="005F1CF0" w:rsidRDefault="005F1CF0" w:rsidP="008D6937">
            <w:pPr>
              <w:pStyle w:val="ListParagraph"/>
              <w:numPr>
                <w:ilvl w:val="0"/>
                <w:numId w:val="27"/>
              </w:numPr>
            </w:pPr>
            <w:r>
              <w:lastRenderedPageBreak/>
              <w:t>Issue around fraud has been raised – reimburse consultation and not the supply of a medicine</w:t>
            </w:r>
          </w:p>
          <w:p w14:paraId="487E50E9" w14:textId="77777777" w:rsidR="005F1CF0" w:rsidRDefault="005F1CF0" w:rsidP="008D6937">
            <w:pPr>
              <w:pStyle w:val="ListParagraph"/>
              <w:numPr>
                <w:ilvl w:val="0"/>
                <w:numId w:val="27"/>
              </w:numPr>
            </w:pPr>
            <w:r>
              <w:t>Approaches to minimise risk and make records and able to justify actions</w:t>
            </w:r>
          </w:p>
          <w:p w14:paraId="36D45606" w14:textId="77777777" w:rsidR="005F1CF0" w:rsidRDefault="005F1CF0" w:rsidP="008D6937">
            <w:pPr>
              <w:pStyle w:val="ListParagraph"/>
              <w:numPr>
                <w:ilvl w:val="0"/>
                <w:numId w:val="27"/>
              </w:numPr>
            </w:pPr>
            <w:r>
              <w:t>Longer term impact on other professions – who have prescribing rights but don’t supply. Different professions have different access to medicines – need to recognise this as part of education and training of non-medical prescribers</w:t>
            </w:r>
          </w:p>
          <w:p w14:paraId="02FE9791" w14:textId="074D7A4D" w:rsidR="005F1CF0" w:rsidRDefault="00160F79" w:rsidP="008D6937">
            <w:pPr>
              <w:pStyle w:val="ListParagraph"/>
              <w:numPr>
                <w:ilvl w:val="0"/>
                <w:numId w:val="27"/>
              </w:numPr>
            </w:pPr>
            <w:r>
              <w:t>Considerations around governance/</w:t>
            </w:r>
            <w:r w:rsidR="005F1CF0">
              <w:t xml:space="preserve"> infrastructure to </w:t>
            </w:r>
            <w:r>
              <w:t>monitor prescribing and supply so that o</w:t>
            </w:r>
            <w:r w:rsidR="005F1CF0">
              <w:t xml:space="preserve">utliers </w:t>
            </w:r>
            <w:r>
              <w:t>can be identified and dealt with</w:t>
            </w:r>
          </w:p>
          <w:p w14:paraId="160187F8" w14:textId="77777777" w:rsidR="005F1CF0" w:rsidRDefault="005F1CF0" w:rsidP="008D6937">
            <w:pPr>
              <w:pStyle w:val="ListParagraph"/>
              <w:numPr>
                <w:ilvl w:val="0"/>
                <w:numId w:val="27"/>
              </w:numPr>
            </w:pPr>
            <w:r>
              <w:t>Double checking not necessarily supported by literature?</w:t>
            </w:r>
          </w:p>
          <w:p w14:paraId="10EDD08A" w14:textId="77777777" w:rsidR="005F1CF0" w:rsidRDefault="005F1CF0" w:rsidP="008D6937">
            <w:pPr>
              <w:pStyle w:val="ListParagraph"/>
              <w:numPr>
                <w:ilvl w:val="0"/>
                <w:numId w:val="27"/>
              </w:numPr>
            </w:pPr>
            <w:r>
              <w:t>Need to modernise</w:t>
            </w:r>
          </w:p>
          <w:p w14:paraId="6C40408A" w14:textId="77777777" w:rsidR="00F45438" w:rsidRDefault="00F45438" w:rsidP="00F45438">
            <w:pPr>
              <w:pStyle w:val="ListParagraph"/>
            </w:pPr>
          </w:p>
          <w:p w14:paraId="110A4CCE" w14:textId="446811D8" w:rsidR="00F45438" w:rsidRPr="00F45438" w:rsidRDefault="00F45438" w:rsidP="00F45438">
            <w:pPr>
              <w:rPr>
                <w:b/>
                <w:bCs/>
              </w:rPr>
            </w:pPr>
            <w:r w:rsidRPr="00F45438">
              <w:rPr>
                <w:b/>
                <w:bCs/>
              </w:rPr>
              <w:t>ACTIONS</w:t>
            </w:r>
          </w:p>
          <w:p w14:paraId="15B1E519" w14:textId="77777777" w:rsidR="005F1CF0" w:rsidRDefault="00F45438" w:rsidP="00F45438">
            <w:pPr>
              <w:pStyle w:val="ListParagraph"/>
              <w:numPr>
                <w:ilvl w:val="0"/>
                <w:numId w:val="32"/>
              </w:numPr>
            </w:pPr>
            <w:r>
              <w:t>HW to share draft position statement with EAG once developed for further thoughts and contributions</w:t>
            </w:r>
          </w:p>
          <w:p w14:paraId="02C979A8" w14:textId="58642A26" w:rsidR="00F45438" w:rsidRPr="000C7A2D" w:rsidRDefault="00F45438" w:rsidP="00F45438">
            <w:pPr>
              <w:pStyle w:val="ListParagraph"/>
            </w:pPr>
          </w:p>
        </w:tc>
      </w:tr>
    </w:tbl>
    <w:p w14:paraId="596AD219" w14:textId="77777777" w:rsidR="00035C75" w:rsidRDefault="00035C75" w:rsidP="007913BF">
      <w:pPr>
        <w:spacing w:after="0"/>
      </w:pPr>
    </w:p>
    <w:p w14:paraId="5CF6FF44" w14:textId="0D2E62B9" w:rsidR="00035C75" w:rsidRPr="007D1116" w:rsidRDefault="00355A75" w:rsidP="00121176">
      <w:pPr>
        <w:pStyle w:val="Heading2"/>
        <w:pBdr>
          <w:bottom w:val="single" w:sz="4" w:space="0" w:color="auto"/>
        </w:pBdr>
        <w:shd w:val="clear" w:color="auto" w:fill="DEEAF6" w:themeFill="accent5" w:themeFillTint="33"/>
        <w:rPr>
          <w:b/>
          <w:bCs/>
          <w:color w:val="000000" w:themeColor="text1"/>
          <w:lang w:val="fr-FR"/>
        </w:rPr>
      </w:pPr>
      <w:r>
        <w:rPr>
          <w:b/>
          <w:bCs/>
          <w:color w:val="000000" w:themeColor="text1"/>
          <w:lang w:val="fr-FR"/>
        </w:rPr>
        <w:t>5</w:t>
      </w:r>
      <w:r w:rsidR="57DF0A69" w:rsidRPr="007D1116">
        <w:rPr>
          <w:b/>
          <w:bCs/>
          <w:color w:val="000000" w:themeColor="text1"/>
          <w:lang w:val="fr-FR"/>
        </w:rPr>
        <w:t xml:space="preserve">: </w:t>
      </w:r>
      <w:r w:rsidR="00854AC4" w:rsidRPr="7B5E0B07">
        <w:rPr>
          <w:b/>
          <w:bCs/>
          <w:color w:val="000000" w:themeColor="text1"/>
          <w:lang w:val="fr-FR"/>
        </w:rPr>
        <w:t xml:space="preserve">Brief update on vision </w:t>
      </w:r>
      <w:proofErr w:type="spellStart"/>
      <w:r w:rsidR="00854AC4" w:rsidRPr="7B5E0B07">
        <w:rPr>
          <w:b/>
          <w:bCs/>
          <w:color w:val="000000" w:themeColor="text1"/>
          <w:lang w:val="fr-FR"/>
        </w:rPr>
        <w:t>work</w:t>
      </w:r>
      <w:proofErr w:type="spellEnd"/>
      <w:r w:rsidR="00854AC4" w:rsidRPr="7B5E0B07">
        <w:rPr>
          <w:b/>
          <w:bCs/>
          <w:color w:val="000000" w:themeColor="text1"/>
          <w:lang w:val="fr-FR"/>
        </w:rPr>
        <w:t xml:space="preserve"> (10 mins) – Heidi Wright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380"/>
        <w:gridCol w:w="7636"/>
      </w:tblGrid>
      <w:tr w:rsidR="00854AC4" w14:paraId="62ED121E" w14:textId="77777777" w:rsidTr="1CEEC284">
        <w:trPr>
          <w:trHeight w:val="273"/>
        </w:trPr>
        <w:tc>
          <w:tcPr>
            <w:tcW w:w="1380" w:type="dxa"/>
          </w:tcPr>
          <w:p w14:paraId="0AABAB99" w14:textId="77777777" w:rsidR="00854AC4" w:rsidRPr="004237B3" w:rsidRDefault="00854AC4" w:rsidP="00854AC4">
            <w:pPr>
              <w:rPr>
                <w:b/>
                <w:bCs/>
              </w:rPr>
            </w:pPr>
            <w:r w:rsidRPr="004237B3">
              <w:rPr>
                <w:b/>
                <w:bCs/>
              </w:rPr>
              <w:t>Description</w:t>
            </w:r>
          </w:p>
        </w:tc>
        <w:tc>
          <w:tcPr>
            <w:tcW w:w="7636" w:type="dxa"/>
          </w:tcPr>
          <w:p w14:paraId="5046F3FD" w14:textId="77777777" w:rsidR="00854AC4" w:rsidRDefault="00854AC4" w:rsidP="00854AC4">
            <w:r>
              <w:t>To provide an update on the vision work across all 3 countries</w:t>
            </w:r>
          </w:p>
          <w:p w14:paraId="744DACDA" w14:textId="53E1015A" w:rsidR="00854AC4" w:rsidRPr="004237B3" w:rsidRDefault="00854AC4" w:rsidP="00854AC4"/>
        </w:tc>
      </w:tr>
      <w:tr w:rsidR="00854AC4" w14:paraId="7E5AF45F" w14:textId="77777777" w:rsidTr="1CEEC284">
        <w:trPr>
          <w:trHeight w:val="638"/>
        </w:trPr>
        <w:tc>
          <w:tcPr>
            <w:tcW w:w="1380" w:type="dxa"/>
          </w:tcPr>
          <w:p w14:paraId="3BDCEA88" w14:textId="77777777" w:rsidR="00854AC4" w:rsidRPr="004237B3" w:rsidRDefault="00854AC4" w:rsidP="00854AC4">
            <w:pPr>
              <w:rPr>
                <w:b/>
                <w:bCs/>
              </w:rPr>
            </w:pPr>
            <w:r w:rsidRPr="004237B3">
              <w:rPr>
                <w:b/>
                <w:bCs/>
              </w:rPr>
              <w:t>Purpose</w:t>
            </w:r>
          </w:p>
        </w:tc>
        <w:tc>
          <w:tcPr>
            <w:tcW w:w="7636" w:type="dxa"/>
          </w:tcPr>
          <w:p w14:paraId="00A32FA9" w14:textId="77777777" w:rsidR="00854AC4" w:rsidRDefault="00854AC4" w:rsidP="00854AC4">
            <w:pPr>
              <w:pStyle w:val="ListParagraph"/>
              <w:ind w:left="0"/>
            </w:pPr>
            <w:r>
              <w:t>Group members to be aware of progress in this area</w:t>
            </w:r>
          </w:p>
          <w:p w14:paraId="2768E662" w14:textId="14E8DFED" w:rsidR="00854AC4" w:rsidRPr="007B312E" w:rsidRDefault="00854AC4" w:rsidP="00854AC4">
            <w:pPr>
              <w:pStyle w:val="ListParagraph"/>
              <w:ind w:left="0"/>
            </w:pPr>
          </w:p>
        </w:tc>
      </w:tr>
      <w:tr w:rsidR="00854AC4" w14:paraId="6C441B0B" w14:textId="77777777" w:rsidTr="1CEEC284">
        <w:trPr>
          <w:trHeight w:val="568"/>
        </w:trPr>
        <w:tc>
          <w:tcPr>
            <w:tcW w:w="1380" w:type="dxa"/>
          </w:tcPr>
          <w:p w14:paraId="025DD840" w14:textId="77777777" w:rsidR="00854AC4" w:rsidRPr="004237B3" w:rsidRDefault="00854AC4" w:rsidP="00854AC4">
            <w:pPr>
              <w:rPr>
                <w:b/>
                <w:bCs/>
              </w:rPr>
            </w:pPr>
            <w:r w:rsidRPr="004237B3">
              <w:rPr>
                <w:b/>
                <w:bCs/>
              </w:rPr>
              <w:t>Outcomes</w:t>
            </w:r>
          </w:p>
        </w:tc>
        <w:tc>
          <w:tcPr>
            <w:tcW w:w="7636" w:type="dxa"/>
          </w:tcPr>
          <w:p w14:paraId="0EEB19A9" w14:textId="35C2027A" w:rsidR="00500869" w:rsidRPr="000C7A2D" w:rsidRDefault="00500869" w:rsidP="00500869">
            <w:r>
              <w:t>Brief update on each country provided</w:t>
            </w:r>
          </w:p>
        </w:tc>
      </w:tr>
    </w:tbl>
    <w:p w14:paraId="2BE959FC" w14:textId="1B853478" w:rsidR="00384591" w:rsidRDefault="00384591" w:rsidP="00A75C94">
      <w:pPr>
        <w:spacing w:after="0"/>
      </w:pPr>
    </w:p>
    <w:p w14:paraId="2A4B0696" w14:textId="26FA7A18" w:rsidR="00B71420" w:rsidRPr="0044432F" w:rsidRDefault="00854AC4" w:rsidP="7B5E0B07">
      <w:pPr>
        <w:keepNext/>
        <w:keepLines/>
        <w:pBdr>
          <w:bottom w:val="single" w:sz="4" w:space="1" w:color="auto"/>
        </w:pBdr>
        <w:shd w:val="clear" w:color="auto" w:fill="DEEAF6" w:themeFill="accent5" w:themeFillTint="33"/>
        <w:spacing w:before="40" w:after="0"/>
        <w:outlineLvl w:val="1"/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</w:rPr>
        <w:t>6</w:t>
      </w:r>
      <w:r w:rsidR="7B5E0B07" w:rsidRPr="7B5E0B07"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</w:rPr>
        <w:t xml:space="preserve">: AOB and summary </w:t>
      </w:r>
      <w:r w:rsidR="7B5E0B07">
        <w:t>(</w:t>
      </w:r>
      <w:r w:rsidR="7B5E0B07" w:rsidRPr="7B5E0B07"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</w:rPr>
        <w:t xml:space="preserve">10 mins) </w:t>
      </w:r>
      <w:proofErr w:type="gramStart"/>
      <w:r w:rsidR="7B5E0B07" w:rsidRPr="7B5E0B07"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</w:rPr>
        <w:t>-  Anne</w:t>
      </w:r>
      <w:proofErr w:type="gramEnd"/>
      <w:r w:rsidR="7B5E0B07" w:rsidRPr="7B5E0B07"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</w:rPr>
        <w:t xml:space="preserve"> Thomson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B71420" w14:paraId="1974D4BE" w14:textId="77777777" w:rsidTr="00AB2248">
        <w:trPr>
          <w:trHeight w:val="365"/>
        </w:trPr>
        <w:tc>
          <w:tcPr>
            <w:tcW w:w="1271" w:type="dxa"/>
          </w:tcPr>
          <w:p w14:paraId="1B4866D6" w14:textId="77777777" w:rsidR="00B71420" w:rsidRPr="0089288F" w:rsidRDefault="00B71420" w:rsidP="00365528">
            <w:pPr>
              <w:rPr>
                <w:rFonts w:cstheme="minorHAnsi"/>
                <w:b/>
                <w:bCs/>
              </w:rPr>
            </w:pPr>
            <w:r w:rsidRPr="0089288F">
              <w:rPr>
                <w:rFonts w:cstheme="minorHAnsi"/>
                <w:b/>
                <w:bCs/>
              </w:rPr>
              <w:t>Description</w:t>
            </w:r>
          </w:p>
        </w:tc>
        <w:tc>
          <w:tcPr>
            <w:tcW w:w="7745" w:type="dxa"/>
          </w:tcPr>
          <w:p w14:paraId="439DD803" w14:textId="1AEF8BF2" w:rsidR="00FD5136" w:rsidRPr="0089288F" w:rsidRDefault="00FD5136" w:rsidP="007510AD">
            <w:pPr>
              <w:pStyle w:val="PlainTex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1420" w14:paraId="3F5F1F08" w14:textId="77777777" w:rsidTr="00365528">
        <w:trPr>
          <w:trHeight w:val="568"/>
        </w:trPr>
        <w:tc>
          <w:tcPr>
            <w:tcW w:w="1271" w:type="dxa"/>
          </w:tcPr>
          <w:p w14:paraId="321234D9" w14:textId="77777777" w:rsidR="00B71420" w:rsidRPr="0089288F" w:rsidRDefault="00B71420" w:rsidP="00365528">
            <w:pPr>
              <w:rPr>
                <w:b/>
                <w:bCs/>
              </w:rPr>
            </w:pPr>
            <w:r w:rsidRPr="0089288F">
              <w:rPr>
                <w:b/>
                <w:bCs/>
              </w:rPr>
              <w:t>Purpose</w:t>
            </w:r>
          </w:p>
        </w:tc>
        <w:tc>
          <w:tcPr>
            <w:tcW w:w="7745" w:type="dxa"/>
          </w:tcPr>
          <w:p w14:paraId="7F8228AB" w14:textId="30B2C2D3" w:rsidR="00B71420" w:rsidRPr="0089288F" w:rsidRDefault="00B71420" w:rsidP="00365528">
            <w:pPr>
              <w:shd w:val="clear" w:color="auto" w:fill="FFFFFF"/>
              <w:jc w:val="both"/>
              <w:outlineLvl w:val="0"/>
              <w:rPr>
                <w:rFonts w:ascii="Calibri" w:hAnsi="Calibri" w:cs="Calibri"/>
              </w:rPr>
            </w:pPr>
          </w:p>
        </w:tc>
      </w:tr>
      <w:tr w:rsidR="00B71420" w14:paraId="60426DF8" w14:textId="77777777" w:rsidTr="00365528">
        <w:trPr>
          <w:trHeight w:val="528"/>
        </w:trPr>
        <w:tc>
          <w:tcPr>
            <w:tcW w:w="1271" w:type="dxa"/>
          </w:tcPr>
          <w:p w14:paraId="3F3659F0" w14:textId="77777777" w:rsidR="00B71420" w:rsidRPr="0089288F" w:rsidRDefault="00B71420" w:rsidP="00365528">
            <w:pPr>
              <w:rPr>
                <w:b/>
                <w:bCs/>
              </w:rPr>
            </w:pPr>
            <w:r w:rsidRPr="0089288F">
              <w:rPr>
                <w:b/>
                <w:bCs/>
              </w:rPr>
              <w:t>Outcomes</w:t>
            </w:r>
          </w:p>
        </w:tc>
        <w:tc>
          <w:tcPr>
            <w:tcW w:w="7745" w:type="dxa"/>
          </w:tcPr>
          <w:p w14:paraId="6DE5D600" w14:textId="6702C481" w:rsidR="00A92637" w:rsidRPr="00A92637" w:rsidRDefault="00A92637" w:rsidP="00AB2248">
            <w:pPr>
              <w:rPr>
                <w:b/>
                <w:bCs/>
              </w:rPr>
            </w:pPr>
            <w:r w:rsidRPr="00A92637">
              <w:rPr>
                <w:b/>
                <w:bCs/>
              </w:rPr>
              <w:t>Checking in pharmacy</w:t>
            </w:r>
          </w:p>
          <w:p w14:paraId="0186F63A" w14:textId="6CF279F2" w:rsidR="00B71420" w:rsidRDefault="005F1CF0" w:rsidP="00A92637">
            <w:pPr>
              <w:pStyle w:val="ListParagraph"/>
              <w:numPr>
                <w:ilvl w:val="0"/>
                <w:numId w:val="30"/>
              </w:numPr>
            </w:pPr>
            <w:r>
              <w:t>Example of checking template / policy to send to Rosie</w:t>
            </w:r>
            <w:r w:rsidR="00A92637">
              <w:t xml:space="preserve"> (</w:t>
            </w:r>
            <w:r w:rsidR="00A92637" w:rsidRPr="00A92637">
              <w:t>rosie.furner@nhs.net</w:t>
            </w:r>
            <w:r w:rsidR="00A92637">
              <w:t>)</w:t>
            </w:r>
          </w:p>
          <w:p w14:paraId="5DDD99C2" w14:textId="77777777" w:rsidR="00500869" w:rsidRPr="00F42199" w:rsidRDefault="00500869" w:rsidP="00AB2248">
            <w:pPr>
              <w:rPr>
                <w:b/>
                <w:bCs/>
              </w:rPr>
            </w:pPr>
            <w:r w:rsidRPr="00F42199">
              <w:rPr>
                <w:b/>
                <w:bCs/>
              </w:rPr>
              <w:t>ARRS roles</w:t>
            </w:r>
          </w:p>
          <w:p w14:paraId="323BB7EF" w14:textId="73831468" w:rsidR="00500869" w:rsidRDefault="00500869" w:rsidP="00500869">
            <w:pPr>
              <w:pStyle w:val="ListParagraph"/>
              <w:numPr>
                <w:ilvl w:val="0"/>
                <w:numId w:val="29"/>
              </w:numPr>
            </w:pPr>
            <w:r>
              <w:t>Community pharmacy organisations critical of ARRS - statements</w:t>
            </w:r>
          </w:p>
          <w:p w14:paraId="5646E1DC" w14:textId="77777777" w:rsidR="00500869" w:rsidRDefault="00F42199" w:rsidP="00500869">
            <w:pPr>
              <w:pStyle w:val="ListParagraph"/>
              <w:numPr>
                <w:ilvl w:val="0"/>
                <w:numId w:val="29"/>
              </w:numPr>
            </w:pPr>
            <w:r>
              <w:t>Strong statements from PSNC, CCA, NPA</w:t>
            </w:r>
          </w:p>
          <w:p w14:paraId="79E8AD2F" w14:textId="55C0D4DC" w:rsidR="00F42199" w:rsidRDefault="00F42199" w:rsidP="00500869">
            <w:pPr>
              <w:pStyle w:val="ListParagraph"/>
              <w:numPr>
                <w:ilvl w:val="0"/>
                <w:numId w:val="29"/>
              </w:numPr>
            </w:pPr>
            <w:r>
              <w:t>CPPE figures published (~4,440 learners)</w:t>
            </w:r>
          </w:p>
          <w:p w14:paraId="192A6E08" w14:textId="73009F35" w:rsidR="00F42199" w:rsidRDefault="00F42199" w:rsidP="00500869">
            <w:pPr>
              <w:pStyle w:val="ListParagraph"/>
              <w:numPr>
                <w:ilvl w:val="0"/>
                <w:numId w:val="29"/>
              </w:numPr>
            </w:pPr>
            <w:r>
              <w:t>8,576 pharmacy professionals now practice in PCNs and GPs</w:t>
            </w:r>
          </w:p>
          <w:p w14:paraId="26BC349F" w14:textId="77777777" w:rsidR="00F42199" w:rsidRDefault="00F42199" w:rsidP="00500869">
            <w:pPr>
              <w:pStyle w:val="ListParagraph"/>
              <w:numPr>
                <w:ilvl w:val="0"/>
                <w:numId w:val="29"/>
              </w:numPr>
            </w:pPr>
            <w:r>
              <w:t>Pharmacist numbers 6,717 (1,800 difference with CPPE) but have now include those who are not on ARRS scheme</w:t>
            </w:r>
          </w:p>
          <w:p w14:paraId="1C34972A" w14:textId="77777777" w:rsidR="00F42199" w:rsidRDefault="00F42199" w:rsidP="00500869">
            <w:pPr>
              <w:pStyle w:val="ListParagraph"/>
              <w:numPr>
                <w:ilvl w:val="0"/>
                <w:numId w:val="29"/>
              </w:numPr>
            </w:pPr>
            <w:r>
              <w:t>ARRS are 4,440 pharmacists</w:t>
            </w:r>
          </w:p>
          <w:p w14:paraId="410370C4" w14:textId="77777777" w:rsidR="00F42199" w:rsidRDefault="00F42199" w:rsidP="00500869">
            <w:pPr>
              <w:pStyle w:val="ListParagraph"/>
              <w:numPr>
                <w:ilvl w:val="0"/>
                <w:numId w:val="29"/>
              </w:numPr>
            </w:pPr>
            <w:r>
              <w:t>54.5% have come from community practice (CPPE figures) = 2,220 pharmacists</w:t>
            </w:r>
          </w:p>
          <w:p w14:paraId="58386867" w14:textId="77777777" w:rsidR="00F42199" w:rsidRDefault="00F42199" w:rsidP="00500869">
            <w:pPr>
              <w:pStyle w:val="ListParagraph"/>
              <w:numPr>
                <w:ilvl w:val="0"/>
                <w:numId w:val="29"/>
              </w:numPr>
            </w:pPr>
            <w:r>
              <w:t>GPhC 52,801 in England and 62% are community pharmacy</w:t>
            </w:r>
          </w:p>
          <w:p w14:paraId="2000F28A" w14:textId="3B267B16" w:rsidR="00F42199" w:rsidRDefault="00F42199" w:rsidP="00500869">
            <w:pPr>
              <w:pStyle w:val="ListParagraph"/>
              <w:numPr>
                <w:ilvl w:val="0"/>
                <w:numId w:val="29"/>
              </w:numPr>
            </w:pPr>
            <w:r>
              <w:t>HEE community pharmacy workforce survey – 27,000 in 2021 (4,221 extra from 2017)</w:t>
            </w:r>
          </w:p>
          <w:p w14:paraId="5C1AF07C" w14:textId="77777777" w:rsidR="00F42199" w:rsidRDefault="00F42199" w:rsidP="00500869">
            <w:pPr>
              <w:pStyle w:val="ListParagraph"/>
              <w:numPr>
                <w:ilvl w:val="0"/>
                <w:numId w:val="29"/>
              </w:numPr>
            </w:pPr>
            <w:r>
              <w:t>Numbers from hospital are even smaller</w:t>
            </w:r>
          </w:p>
          <w:p w14:paraId="140DCA95" w14:textId="7828B24D" w:rsidR="00F42199" w:rsidRDefault="00F42199" w:rsidP="00500869">
            <w:pPr>
              <w:pStyle w:val="ListParagraph"/>
              <w:numPr>
                <w:ilvl w:val="0"/>
                <w:numId w:val="29"/>
              </w:numPr>
            </w:pPr>
            <w:r>
              <w:lastRenderedPageBreak/>
              <w:t xml:space="preserve">Why do pharmacists want to move? Money is not the reason – </w:t>
            </w:r>
            <w:r w:rsidR="00CB19FC">
              <w:t>could</w:t>
            </w:r>
            <w:r>
              <w:t xml:space="preserve"> be working environment</w:t>
            </w:r>
            <w:r w:rsidR="00CB19FC">
              <w:t xml:space="preserve"> or o</w:t>
            </w:r>
            <w:r>
              <w:t>pportunity to become a prescriber and use skills differently</w:t>
            </w:r>
          </w:p>
          <w:p w14:paraId="2154BF2E" w14:textId="77777777" w:rsidR="00F42199" w:rsidRDefault="00F42199" w:rsidP="00500869">
            <w:pPr>
              <w:pStyle w:val="ListParagraph"/>
              <w:numPr>
                <w:ilvl w:val="0"/>
                <w:numId w:val="29"/>
              </w:numPr>
            </w:pPr>
            <w:r>
              <w:t>Potential to have joint funded ARRS roles in the future</w:t>
            </w:r>
          </w:p>
          <w:p w14:paraId="66545EC5" w14:textId="77777777" w:rsidR="00A92637" w:rsidRDefault="00A92637" w:rsidP="00500869">
            <w:pPr>
              <w:pStyle w:val="ListParagraph"/>
              <w:numPr>
                <w:ilvl w:val="0"/>
                <w:numId w:val="29"/>
              </w:numPr>
            </w:pPr>
            <w:r>
              <w:t>Opportunity with shared programmes</w:t>
            </w:r>
          </w:p>
          <w:p w14:paraId="23251279" w14:textId="2AE0D9BF" w:rsidR="00A92637" w:rsidRPr="005F1CF0" w:rsidRDefault="00A92637" w:rsidP="00500869">
            <w:pPr>
              <w:pStyle w:val="ListParagraph"/>
              <w:numPr>
                <w:ilvl w:val="0"/>
                <w:numId w:val="29"/>
              </w:numPr>
            </w:pPr>
            <w:r>
              <w:t>Integration across system is key and working together</w:t>
            </w:r>
          </w:p>
        </w:tc>
      </w:tr>
    </w:tbl>
    <w:p w14:paraId="13BBE4F3" w14:textId="77777777" w:rsidR="00B71420" w:rsidRDefault="00B71420" w:rsidP="00A75C94">
      <w:pPr>
        <w:spacing w:after="0"/>
      </w:pPr>
    </w:p>
    <w:sectPr w:rsidR="00B714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CA398" w14:textId="77777777" w:rsidR="007D6380" w:rsidRDefault="007D6380" w:rsidP="00E14CCB">
      <w:pPr>
        <w:spacing w:after="0" w:line="240" w:lineRule="auto"/>
      </w:pPr>
      <w:r>
        <w:separator/>
      </w:r>
    </w:p>
  </w:endnote>
  <w:endnote w:type="continuationSeparator" w:id="0">
    <w:p w14:paraId="472CB9DC" w14:textId="77777777" w:rsidR="007D6380" w:rsidRDefault="007D6380" w:rsidP="00E14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9964" w14:textId="77777777" w:rsidR="00F57CA6" w:rsidRDefault="00F57C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1B992" w14:textId="77777777" w:rsidR="00F57CA6" w:rsidRDefault="00F57C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0B4BB" w14:textId="77777777" w:rsidR="00F57CA6" w:rsidRDefault="00F57C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A8698" w14:textId="77777777" w:rsidR="007D6380" w:rsidRDefault="007D6380" w:rsidP="00E14CCB">
      <w:pPr>
        <w:spacing w:after="0" w:line="240" w:lineRule="auto"/>
      </w:pPr>
      <w:r>
        <w:separator/>
      </w:r>
    </w:p>
  </w:footnote>
  <w:footnote w:type="continuationSeparator" w:id="0">
    <w:p w14:paraId="0CFE380F" w14:textId="77777777" w:rsidR="007D6380" w:rsidRDefault="007D6380" w:rsidP="00E14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D3C62" w14:textId="77777777" w:rsidR="00F57CA6" w:rsidRDefault="00F57C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D312C" w14:textId="1B373708" w:rsidR="00E14CCB" w:rsidRDefault="00E14CCB">
    <w:pPr>
      <w:pStyle w:val="Header"/>
    </w:pPr>
    <w:r w:rsidRPr="00BB06E3">
      <w:rPr>
        <w:noProof/>
        <w:lang w:eastAsia="en-GB"/>
      </w:rPr>
      <w:drawing>
        <wp:inline distT="0" distB="0" distL="0" distR="0" wp14:anchorId="71F68B44" wp14:editId="42A1F983">
          <wp:extent cx="1647825" cy="486647"/>
          <wp:effectExtent l="0" t="0" r="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PS_Primary_Brandmark_Dark_RB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929" cy="493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486F0" w14:textId="77777777" w:rsidR="00F57CA6" w:rsidRDefault="00F57C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6A8D"/>
    <w:multiLevelType w:val="hybridMultilevel"/>
    <w:tmpl w:val="AA7CD7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B36E5"/>
    <w:multiLevelType w:val="hybridMultilevel"/>
    <w:tmpl w:val="4538E5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DE5ED2"/>
    <w:multiLevelType w:val="hybridMultilevel"/>
    <w:tmpl w:val="85464090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2E96341"/>
    <w:multiLevelType w:val="hybridMultilevel"/>
    <w:tmpl w:val="1FF41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53F41"/>
    <w:multiLevelType w:val="hybridMultilevel"/>
    <w:tmpl w:val="975AF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C6FF6"/>
    <w:multiLevelType w:val="hybridMultilevel"/>
    <w:tmpl w:val="6128C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310E52"/>
    <w:multiLevelType w:val="hybridMultilevel"/>
    <w:tmpl w:val="013A4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C3496"/>
    <w:multiLevelType w:val="hybridMultilevel"/>
    <w:tmpl w:val="1B783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F3D1B"/>
    <w:multiLevelType w:val="hybridMultilevel"/>
    <w:tmpl w:val="FEC0CAA0"/>
    <w:lvl w:ilvl="0" w:tplc="733EA46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3C48FB"/>
    <w:multiLevelType w:val="hybridMultilevel"/>
    <w:tmpl w:val="F9C8025A"/>
    <w:lvl w:ilvl="0" w:tplc="79C617A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D1D68"/>
    <w:multiLevelType w:val="hybridMultilevel"/>
    <w:tmpl w:val="8E68D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24170"/>
    <w:multiLevelType w:val="hybridMultilevel"/>
    <w:tmpl w:val="AF50FE68"/>
    <w:lvl w:ilvl="0" w:tplc="7AF8184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D1148"/>
    <w:multiLevelType w:val="hybridMultilevel"/>
    <w:tmpl w:val="7624E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463BE"/>
    <w:multiLevelType w:val="hybridMultilevel"/>
    <w:tmpl w:val="E8C46D6A"/>
    <w:lvl w:ilvl="0" w:tplc="5238B3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F798B"/>
    <w:multiLevelType w:val="hybridMultilevel"/>
    <w:tmpl w:val="4850A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002ED"/>
    <w:multiLevelType w:val="hybridMultilevel"/>
    <w:tmpl w:val="C0948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00A2B"/>
    <w:multiLevelType w:val="hybridMultilevel"/>
    <w:tmpl w:val="7F6E09C0"/>
    <w:lvl w:ilvl="0" w:tplc="4732BBEA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33031A"/>
    <w:multiLevelType w:val="hybridMultilevel"/>
    <w:tmpl w:val="4EFEB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A50A62"/>
    <w:multiLevelType w:val="hybridMultilevel"/>
    <w:tmpl w:val="66D46810"/>
    <w:lvl w:ilvl="0" w:tplc="0360D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3F6CD9"/>
    <w:multiLevelType w:val="hybridMultilevel"/>
    <w:tmpl w:val="0B726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E25A5"/>
    <w:multiLevelType w:val="hybridMultilevel"/>
    <w:tmpl w:val="A13CEE6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6450DC"/>
    <w:multiLevelType w:val="hybridMultilevel"/>
    <w:tmpl w:val="7C9E5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4C2B62"/>
    <w:multiLevelType w:val="hybridMultilevel"/>
    <w:tmpl w:val="2AC41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4F22D1"/>
    <w:multiLevelType w:val="hybridMultilevel"/>
    <w:tmpl w:val="DF72C316"/>
    <w:lvl w:ilvl="0" w:tplc="4732BBEA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C563C6"/>
    <w:multiLevelType w:val="hybridMultilevel"/>
    <w:tmpl w:val="E45C1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E179BC"/>
    <w:multiLevelType w:val="hybridMultilevel"/>
    <w:tmpl w:val="F8021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DC533F"/>
    <w:multiLevelType w:val="hybridMultilevel"/>
    <w:tmpl w:val="69486A06"/>
    <w:lvl w:ilvl="0" w:tplc="66065DD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31182"/>
    <w:multiLevelType w:val="hybridMultilevel"/>
    <w:tmpl w:val="9A007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40102"/>
    <w:multiLevelType w:val="hybridMultilevel"/>
    <w:tmpl w:val="181A1906"/>
    <w:lvl w:ilvl="0" w:tplc="79C617A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7C33C0"/>
    <w:multiLevelType w:val="hybridMultilevel"/>
    <w:tmpl w:val="F8D214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4019FA"/>
    <w:multiLevelType w:val="hybridMultilevel"/>
    <w:tmpl w:val="7EE6B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4661CF"/>
    <w:multiLevelType w:val="hybridMultilevel"/>
    <w:tmpl w:val="B03434EE"/>
    <w:lvl w:ilvl="0" w:tplc="733EA46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56535021">
    <w:abstractNumId w:val="15"/>
  </w:num>
  <w:num w:numId="2" w16cid:durableId="67271701">
    <w:abstractNumId w:val="21"/>
  </w:num>
  <w:num w:numId="3" w16cid:durableId="518544042">
    <w:abstractNumId w:val="24"/>
  </w:num>
  <w:num w:numId="4" w16cid:durableId="1048528488">
    <w:abstractNumId w:val="29"/>
  </w:num>
  <w:num w:numId="5" w16cid:durableId="1517308802">
    <w:abstractNumId w:val="1"/>
  </w:num>
  <w:num w:numId="6" w16cid:durableId="694841170">
    <w:abstractNumId w:val="5"/>
  </w:num>
  <w:num w:numId="7" w16cid:durableId="832523636">
    <w:abstractNumId w:val="0"/>
  </w:num>
  <w:num w:numId="8" w16cid:durableId="806515151">
    <w:abstractNumId w:val="18"/>
  </w:num>
  <w:num w:numId="9" w16cid:durableId="1281032654">
    <w:abstractNumId w:val="26"/>
  </w:num>
  <w:num w:numId="10" w16cid:durableId="1953248010">
    <w:abstractNumId w:val="11"/>
  </w:num>
  <w:num w:numId="11" w16cid:durableId="1734547977">
    <w:abstractNumId w:val="2"/>
  </w:num>
  <w:num w:numId="12" w16cid:durableId="527451118">
    <w:abstractNumId w:val="31"/>
  </w:num>
  <w:num w:numId="13" w16cid:durableId="658920687">
    <w:abstractNumId w:val="13"/>
  </w:num>
  <w:num w:numId="14" w16cid:durableId="563761026">
    <w:abstractNumId w:val="8"/>
  </w:num>
  <w:num w:numId="15" w16cid:durableId="251790283">
    <w:abstractNumId w:val="28"/>
  </w:num>
  <w:num w:numId="16" w16cid:durableId="315190302">
    <w:abstractNumId w:val="9"/>
  </w:num>
  <w:num w:numId="17" w16cid:durableId="1813867509">
    <w:abstractNumId w:val="14"/>
  </w:num>
  <w:num w:numId="18" w16cid:durableId="171259903">
    <w:abstractNumId w:val="6"/>
  </w:num>
  <w:num w:numId="19" w16cid:durableId="1830557848">
    <w:abstractNumId w:val="27"/>
  </w:num>
  <w:num w:numId="20" w16cid:durableId="458647780">
    <w:abstractNumId w:val="20"/>
  </w:num>
  <w:num w:numId="21" w16cid:durableId="1673337699">
    <w:abstractNumId w:val="7"/>
  </w:num>
  <w:num w:numId="22" w16cid:durableId="744376593">
    <w:abstractNumId w:val="30"/>
  </w:num>
  <w:num w:numId="23" w16cid:durableId="1307316293">
    <w:abstractNumId w:val="22"/>
  </w:num>
  <w:num w:numId="24" w16cid:durableId="909660812">
    <w:abstractNumId w:val="16"/>
  </w:num>
  <w:num w:numId="25" w16cid:durableId="734859427">
    <w:abstractNumId w:val="23"/>
  </w:num>
  <w:num w:numId="26" w16cid:durableId="618411254">
    <w:abstractNumId w:val="12"/>
  </w:num>
  <w:num w:numId="27" w16cid:durableId="1020357173">
    <w:abstractNumId w:val="25"/>
  </w:num>
  <w:num w:numId="28" w16cid:durableId="9797345">
    <w:abstractNumId w:val="4"/>
  </w:num>
  <w:num w:numId="29" w16cid:durableId="1435054350">
    <w:abstractNumId w:val="17"/>
  </w:num>
  <w:num w:numId="30" w16cid:durableId="146215002">
    <w:abstractNumId w:val="3"/>
  </w:num>
  <w:num w:numId="31" w16cid:durableId="896472245">
    <w:abstractNumId w:val="10"/>
  </w:num>
  <w:num w:numId="32" w16cid:durableId="184582607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0F1"/>
    <w:rsid w:val="00001C6A"/>
    <w:rsid w:val="00024749"/>
    <w:rsid w:val="00024F7C"/>
    <w:rsid w:val="00035C75"/>
    <w:rsid w:val="0004053B"/>
    <w:rsid w:val="0004414A"/>
    <w:rsid w:val="00046FE2"/>
    <w:rsid w:val="00070D06"/>
    <w:rsid w:val="00076F9A"/>
    <w:rsid w:val="00087631"/>
    <w:rsid w:val="000877BA"/>
    <w:rsid w:val="000A0C1D"/>
    <w:rsid w:val="000B43CF"/>
    <w:rsid w:val="000C3BA1"/>
    <w:rsid w:val="000C5A09"/>
    <w:rsid w:val="000C6B08"/>
    <w:rsid w:val="000C7A2D"/>
    <w:rsid w:val="00121176"/>
    <w:rsid w:val="001270C1"/>
    <w:rsid w:val="0015099B"/>
    <w:rsid w:val="001527E0"/>
    <w:rsid w:val="00160F79"/>
    <w:rsid w:val="00171E1B"/>
    <w:rsid w:val="00176C8A"/>
    <w:rsid w:val="00183BA0"/>
    <w:rsid w:val="001B138E"/>
    <w:rsid w:val="001E764A"/>
    <w:rsid w:val="001F6DF3"/>
    <w:rsid w:val="00206511"/>
    <w:rsid w:val="002374E0"/>
    <w:rsid w:val="00244786"/>
    <w:rsid w:val="00246364"/>
    <w:rsid w:val="00246A47"/>
    <w:rsid w:val="00262DBA"/>
    <w:rsid w:val="0026426F"/>
    <w:rsid w:val="00267351"/>
    <w:rsid w:val="00296ACA"/>
    <w:rsid w:val="002B7F1E"/>
    <w:rsid w:val="002E409B"/>
    <w:rsid w:val="003058A6"/>
    <w:rsid w:val="003251E8"/>
    <w:rsid w:val="00327C7D"/>
    <w:rsid w:val="00331BD5"/>
    <w:rsid w:val="00346E9A"/>
    <w:rsid w:val="00355A75"/>
    <w:rsid w:val="00357E03"/>
    <w:rsid w:val="00382E8B"/>
    <w:rsid w:val="00384591"/>
    <w:rsid w:val="003A67D1"/>
    <w:rsid w:val="003C0113"/>
    <w:rsid w:val="003D2558"/>
    <w:rsid w:val="00406D39"/>
    <w:rsid w:val="00406F24"/>
    <w:rsid w:val="0041014A"/>
    <w:rsid w:val="004130F1"/>
    <w:rsid w:val="004152D5"/>
    <w:rsid w:val="00416B8E"/>
    <w:rsid w:val="004237B3"/>
    <w:rsid w:val="00425828"/>
    <w:rsid w:val="0044432F"/>
    <w:rsid w:val="004549B4"/>
    <w:rsid w:val="00461ECB"/>
    <w:rsid w:val="004712F0"/>
    <w:rsid w:val="004A4074"/>
    <w:rsid w:val="004A76F5"/>
    <w:rsid w:val="004C077F"/>
    <w:rsid w:val="004C4897"/>
    <w:rsid w:val="004D503E"/>
    <w:rsid w:val="004E3778"/>
    <w:rsid w:val="004F6BD6"/>
    <w:rsid w:val="00500869"/>
    <w:rsid w:val="00500E39"/>
    <w:rsid w:val="0051027F"/>
    <w:rsid w:val="00530FA9"/>
    <w:rsid w:val="0054181D"/>
    <w:rsid w:val="00552F44"/>
    <w:rsid w:val="0056385B"/>
    <w:rsid w:val="0057039E"/>
    <w:rsid w:val="005734B9"/>
    <w:rsid w:val="005B586C"/>
    <w:rsid w:val="005C6BB9"/>
    <w:rsid w:val="005D12E6"/>
    <w:rsid w:val="005E3EA7"/>
    <w:rsid w:val="005F1CF0"/>
    <w:rsid w:val="005F7189"/>
    <w:rsid w:val="0061467C"/>
    <w:rsid w:val="006255E1"/>
    <w:rsid w:val="00634AB0"/>
    <w:rsid w:val="006363F0"/>
    <w:rsid w:val="00692FEC"/>
    <w:rsid w:val="006B567E"/>
    <w:rsid w:val="006B7EE1"/>
    <w:rsid w:val="006C726C"/>
    <w:rsid w:val="006C7D41"/>
    <w:rsid w:val="006D0ABB"/>
    <w:rsid w:val="006F15D8"/>
    <w:rsid w:val="006F2D7B"/>
    <w:rsid w:val="0072482C"/>
    <w:rsid w:val="007305A7"/>
    <w:rsid w:val="007510AD"/>
    <w:rsid w:val="00764B07"/>
    <w:rsid w:val="0077311F"/>
    <w:rsid w:val="00776282"/>
    <w:rsid w:val="00782D7B"/>
    <w:rsid w:val="00783A0E"/>
    <w:rsid w:val="00787DBB"/>
    <w:rsid w:val="007913BF"/>
    <w:rsid w:val="00793075"/>
    <w:rsid w:val="00794790"/>
    <w:rsid w:val="007B312E"/>
    <w:rsid w:val="007C0870"/>
    <w:rsid w:val="007C35CF"/>
    <w:rsid w:val="007D1116"/>
    <w:rsid w:val="007D6380"/>
    <w:rsid w:val="007E1598"/>
    <w:rsid w:val="007E5BEC"/>
    <w:rsid w:val="007F622D"/>
    <w:rsid w:val="007F69C7"/>
    <w:rsid w:val="008014A4"/>
    <w:rsid w:val="00803D73"/>
    <w:rsid w:val="008333F8"/>
    <w:rsid w:val="00836EE8"/>
    <w:rsid w:val="00854AC4"/>
    <w:rsid w:val="00873252"/>
    <w:rsid w:val="00873290"/>
    <w:rsid w:val="0088199B"/>
    <w:rsid w:val="00886E20"/>
    <w:rsid w:val="008927DB"/>
    <w:rsid w:val="0089288F"/>
    <w:rsid w:val="00894E62"/>
    <w:rsid w:val="008D6937"/>
    <w:rsid w:val="008E389E"/>
    <w:rsid w:val="00900C4F"/>
    <w:rsid w:val="009021F2"/>
    <w:rsid w:val="00907617"/>
    <w:rsid w:val="0091423A"/>
    <w:rsid w:val="0093351D"/>
    <w:rsid w:val="009644BF"/>
    <w:rsid w:val="0096798E"/>
    <w:rsid w:val="00990A5F"/>
    <w:rsid w:val="009A7AAB"/>
    <w:rsid w:val="00A21384"/>
    <w:rsid w:val="00A60E8E"/>
    <w:rsid w:val="00A73729"/>
    <w:rsid w:val="00A75C94"/>
    <w:rsid w:val="00A92637"/>
    <w:rsid w:val="00A94A2E"/>
    <w:rsid w:val="00AB2248"/>
    <w:rsid w:val="00AB2987"/>
    <w:rsid w:val="00AC0548"/>
    <w:rsid w:val="00AC7955"/>
    <w:rsid w:val="00AD17D0"/>
    <w:rsid w:val="00AE5625"/>
    <w:rsid w:val="00B01DCF"/>
    <w:rsid w:val="00B2460C"/>
    <w:rsid w:val="00B27D84"/>
    <w:rsid w:val="00B34421"/>
    <w:rsid w:val="00B54907"/>
    <w:rsid w:val="00B653A2"/>
    <w:rsid w:val="00B71420"/>
    <w:rsid w:val="00B91B5C"/>
    <w:rsid w:val="00B95E6F"/>
    <w:rsid w:val="00BA6489"/>
    <w:rsid w:val="00BC37AC"/>
    <w:rsid w:val="00BC5A69"/>
    <w:rsid w:val="00BD2248"/>
    <w:rsid w:val="00BD5AB6"/>
    <w:rsid w:val="00BE5822"/>
    <w:rsid w:val="00BF5B3B"/>
    <w:rsid w:val="00C0229B"/>
    <w:rsid w:val="00C03D08"/>
    <w:rsid w:val="00C10619"/>
    <w:rsid w:val="00C2084A"/>
    <w:rsid w:val="00C2595E"/>
    <w:rsid w:val="00C261E6"/>
    <w:rsid w:val="00C35C46"/>
    <w:rsid w:val="00C56277"/>
    <w:rsid w:val="00C5682A"/>
    <w:rsid w:val="00C77D73"/>
    <w:rsid w:val="00C834C9"/>
    <w:rsid w:val="00C90D6E"/>
    <w:rsid w:val="00CA4263"/>
    <w:rsid w:val="00CA621E"/>
    <w:rsid w:val="00CB19FC"/>
    <w:rsid w:val="00CC7679"/>
    <w:rsid w:val="00CE07DD"/>
    <w:rsid w:val="00CE1007"/>
    <w:rsid w:val="00CF0B7F"/>
    <w:rsid w:val="00CF2522"/>
    <w:rsid w:val="00CF490F"/>
    <w:rsid w:val="00D06CE2"/>
    <w:rsid w:val="00D132B8"/>
    <w:rsid w:val="00D14202"/>
    <w:rsid w:val="00D16DC2"/>
    <w:rsid w:val="00D3032D"/>
    <w:rsid w:val="00D43CB3"/>
    <w:rsid w:val="00D560DC"/>
    <w:rsid w:val="00D70791"/>
    <w:rsid w:val="00D949D6"/>
    <w:rsid w:val="00DA48C2"/>
    <w:rsid w:val="00DB05F0"/>
    <w:rsid w:val="00DB2E68"/>
    <w:rsid w:val="00DC20FA"/>
    <w:rsid w:val="00DE19B1"/>
    <w:rsid w:val="00E14CCB"/>
    <w:rsid w:val="00E22779"/>
    <w:rsid w:val="00E350BA"/>
    <w:rsid w:val="00E71ACA"/>
    <w:rsid w:val="00E836F9"/>
    <w:rsid w:val="00E84C58"/>
    <w:rsid w:val="00E963C8"/>
    <w:rsid w:val="00EA01DF"/>
    <w:rsid w:val="00EC1F3D"/>
    <w:rsid w:val="00EC55EE"/>
    <w:rsid w:val="00ED2B68"/>
    <w:rsid w:val="00F13470"/>
    <w:rsid w:val="00F270BE"/>
    <w:rsid w:val="00F27759"/>
    <w:rsid w:val="00F35759"/>
    <w:rsid w:val="00F41A50"/>
    <w:rsid w:val="00F41DFD"/>
    <w:rsid w:val="00F42199"/>
    <w:rsid w:val="00F45438"/>
    <w:rsid w:val="00F57CA6"/>
    <w:rsid w:val="00F63C83"/>
    <w:rsid w:val="00F76B78"/>
    <w:rsid w:val="00FA408B"/>
    <w:rsid w:val="00FD5136"/>
    <w:rsid w:val="00FE4C3F"/>
    <w:rsid w:val="00FE789D"/>
    <w:rsid w:val="00FF3C6B"/>
    <w:rsid w:val="1CEEC284"/>
    <w:rsid w:val="4B912CE5"/>
    <w:rsid w:val="57DF0A69"/>
    <w:rsid w:val="5A8CE91A"/>
    <w:rsid w:val="6A4E4F6E"/>
    <w:rsid w:val="6AAF4FD0"/>
    <w:rsid w:val="74196BDC"/>
    <w:rsid w:val="7B5E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EBE26"/>
  <w15:chartTrackingRefBased/>
  <w15:docId w15:val="{F9B88551-0773-44E6-9E77-63BC30B8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32F"/>
  </w:style>
  <w:style w:type="paragraph" w:styleId="Heading1">
    <w:name w:val="heading 1"/>
    <w:basedOn w:val="Normal"/>
    <w:next w:val="Normal"/>
    <w:link w:val="Heading1Char"/>
    <w:uiPriority w:val="9"/>
    <w:qFormat/>
    <w:rsid w:val="004130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30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3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130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130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130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4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CCB"/>
  </w:style>
  <w:style w:type="paragraph" w:styleId="Footer">
    <w:name w:val="footer"/>
    <w:basedOn w:val="Normal"/>
    <w:link w:val="FooterChar"/>
    <w:uiPriority w:val="99"/>
    <w:unhideWhenUsed/>
    <w:rsid w:val="00E14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CCB"/>
  </w:style>
  <w:style w:type="paragraph" w:styleId="BalloonText">
    <w:name w:val="Balloon Text"/>
    <w:basedOn w:val="Normal"/>
    <w:link w:val="BalloonTextChar"/>
    <w:uiPriority w:val="99"/>
    <w:semiHidden/>
    <w:unhideWhenUsed/>
    <w:rsid w:val="00DA4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8C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2775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775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C48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48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48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8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897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E789D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CA621E"/>
    <w:pPr>
      <w:spacing w:after="0" w:line="240" w:lineRule="auto"/>
    </w:pPr>
    <w:rPr>
      <w:rFonts w:ascii="Arial" w:hAnsi="Arial" w:cs="Consolas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A621E"/>
    <w:rPr>
      <w:rFonts w:ascii="Arial" w:hAnsi="Arial" w:cs="Consolas"/>
      <w:sz w:val="20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CC7679"/>
    <w:rPr>
      <w:color w:val="954F72" w:themeColor="followedHyperlink"/>
      <w:u w:val="single"/>
    </w:rPr>
  </w:style>
  <w:style w:type="paragraph" w:customStyle="1" w:styleId="xxmsolistparagraph">
    <w:name w:val="x_x_msolistparagraph"/>
    <w:basedOn w:val="Normal"/>
    <w:rsid w:val="00CC7679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01C6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82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epeatprescribing@rpharm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Morrison</dc:creator>
  <cp:keywords/>
  <dc:description/>
  <cp:lastModifiedBy>Heidi Wright</cp:lastModifiedBy>
  <cp:revision>2</cp:revision>
  <dcterms:created xsi:type="dcterms:W3CDTF">2023-06-01T07:24:00Z</dcterms:created>
  <dcterms:modified xsi:type="dcterms:W3CDTF">2023-06-01T07:24:00Z</dcterms:modified>
</cp:coreProperties>
</file>