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B4AD" w14:textId="4587726C" w:rsidR="004130F1" w:rsidRPr="004130F1" w:rsidRDefault="005B586C" w:rsidP="004130F1">
      <w:pPr>
        <w:pStyle w:val="Heading1"/>
        <w:rPr>
          <w:b/>
          <w:bCs/>
        </w:rPr>
      </w:pPr>
      <w:r>
        <w:rPr>
          <w:b/>
          <w:bCs/>
        </w:rPr>
        <w:t xml:space="preserve">Community </w:t>
      </w:r>
      <w:r w:rsidR="00552F44">
        <w:rPr>
          <w:b/>
          <w:bCs/>
        </w:rPr>
        <w:t>Pharmacy</w:t>
      </w:r>
      <w:r w:rsidR="00C834C9">
        <w:rPr>
          <w:b/>
          <w:bCs/>
        </w:rPr>
        <w:t xml:space="preserve"> </w:t>
      </w:r>
      <w:r w:rsidR="004130F1">
        <w:rPr>
          <w:b/>
          <w:bCs/>
        </w:rPr>
        <w:t xml:space="preserve">Expert Advisory Group </w:t>
      </w:r>
      <w:r w:rsidR="00C834C9">
        <w:rPr>
          <w:b/>
          <w:bCs/>
        </w:rPr>
        <w:t>Agenda</w:t>
      </w:r>
    </w:p>
    <w:p w14:paraId="0323961B" w14:textId="1A2541CF" w:rsidR="006255E1" w:rsidRDefault="00B51E9C" w:rsidP="005B586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 </w:t>
      </w:r>
      <w:r w:rsidR="00E13D63">
        <w:rPr>
          <w:b/>
          <w:bCs/>
          <w:sz w:val="28"/>
          <w:szCs w:val="28"/>
        </w:rPr>
        <w:t>25</w:t>
      </w:r>
      <w:r w:rsidR="00E13D63" w:rsidRPr="00E13D63">
        <w:rPr>
          <w:b/>
          <w:bCs/>
          <w:sz w:val="28"/>
          <w:szCs w:val="28"/>
          <w:vertAlign w:val="superscript"/>
        </w:rPr>
        <w:t>th</w:t>
      </w:r>
      <w:r w:rsidR="00E13D63">
        <w:rPr>
          <w:b/>
          <w:bCs/>
          <w:sz w:val="28"/>
          <w:szCs w:val="28"/>
        </w:rPr>
        <w:t xml:space="preserve"> September </w:t>
      </w:r>
      <w:r>
        <w:rPr>
          <w:b/>
          <w:bCs/>
          <w:sz w:val="28"/>
          <w:szCs w:val="28"/>
        </w:rPr>
        <w:t xml:space="preserve">2023 </w:t>
      </w:r>
      <w:r w:rsidR="004237B3">
        <w:rPr>
          <w:b/>
          <w:bCs/>
          <w:sz w:val="28"/>
          <w:szCs w:val="28"/>
        </w:rPr>
        <w:t>19.30 – 2</w:t>
      </w:r>
      <w:r w:rsidR="00E13D63">
        <w:rPr>
          <w:b/>
          <w:bCs/>
          <w:sz w:val="28"/>
          <w:szCs w:val="28"/>
        </w:rPr>
        <w:t>0.30</w:t>
      </w:r>
      <w:r w:rsidR="004237B3">
        <w:rPr>
          <w:b/>
          <w:bCs/>
          <w:sz w:val="28"/>
          <w:szCs w:val="28"/>
        </w:rPr>
        <w:t xml:space="preserve"> By</w:t>
      </w:r>
      <w:r w:rsidR="00F27759">
        <w:rPr>
          <w:b/>
          <w:bCs/>
          <w:sz w:val="28"/>
          <w:szCs w:val="28"/>
        </w:rPr>
        <w:t xml:space="preserve"> Zoom: </w:t>
      </w:r>
    </w:p>
    <w:p w14:paraId="06BDC11D" w14:textId="1EF88A0C" w:rsidR="00F27759" w:rsidRDefault="004540E4" w:rsidP="00F27759">
      <w:pPr>
        <w:spacing w:after="0"/>
      </w:pPr>
      <w:r>
        <w:rPr>
          <w:sz w:val="24"/>
          <w:szCs w:val="24"/>
        </w:rPr>
        <w:t>P</w:t>
      </w:r>
      <w:r w:rsidR="00F27759" w:rsidRPr="00FE789D">
        <w:rPr>
          <w:sz w:val="24"/>
          <w:szCs w:val="24"/>
        </w:rPr>
        <w:t xml:space="preserve">lease note you need a Zoom </w:t>
      </w:r>
      <w:r w:rsidR="00BE5822" w:rsidRPr="00FE789D">
        <w:rPr>
          <w:sz w:val="24"/>
          <w:szCs w:val="24"/>
        </w:rPr>
        <w:t>account to enter this meeting</w:t>
      </w:r>
      <w:r w:rsidR="00F27759" w:rsidRPr="00FE789D">
        <w:rPr>
          <w:sz w:val="24"/>
          <w:szCs w:val="24"/>
        </w:rPr>
        <w:t xml:space="preserve">. You can create a Zoom account for free at: </w:t>
      </w:r>
      <w:hyperlink r:id="rId7" w:history="1">
        <w:r w:rsidR="00F27759" w:rsidRPr="00FE789D">
          <w:rPr>
            <w:rStyle w:val="Hyperlink"/>
            <w:sz w:val="24"/>
            <w:szCs w:val="24"/>
          </w:rPr>
          <w:t>https://zoom.us/signup</w:t>
        </w:r>
      </w:hyperlink>
      <w:r w:rsidR="00F27759">
        <w:t xml:space="preserve"> </w:t>
      </w:r>
    </w:p>
    <w:p w14:paraId="58EE2E3F" w14:textId="77777777" w:rsidR="00E13D63" w:rsidRDefault="00E13D63" w:rsidP="00E13D63">
      <w:pPr>
        <w:rPr>
          <w:rFonts w:ascii="Arial" w:hAnsi="Arial"/>
        </w:rPr>
      </w:pPr>
      <w:r>
        <w:rPr>
          <w:rFonts w:ascii="Arial" w:hAnsi="Arial"/>
        </w:rPr>
        <w:t>Join Zoom Meeting</w:t>
      </w:r>
    </w:p>
    <w:p w14:paraId="4471110F" w14:textId="77777777" w:rsidR="00E13D63" w:rsidRDefault="00000000" w:rsidP="00E13D63">
      <w:pPr>
        <w:rPr>
          <w:rFonts w:ascii="Arial" w:hAnsi="Arial"/>
        </w:rPr>
      </w:pPr>
      <w:hyperlink r:id="rId8" w:history="1">
        <w:r w:rsidR="00E13D63">
          <w:rPr>
            <w:rStyle w:val="Hyperlink"/>
            <w:rFonts w:ascii="Arial" w:hAnsi="Arial"/>
          </w:rPr>
          <w:t>https://rpharms.zoom.us/j/93293245406?pwd=dE1qeVVPc21jWFFJWDdHSEJvRGpIZz09</w:t>
        </w:r>
      </w:hyperlink>
    </w:p>
    <w:p w14:paraId="40A8550D" w14:textId="77777777" w:rsidR="00E13D63" w:rsidRDefault="00E13D63" w:rsidP="00E13D63">
      <w:pPr>
        <w:rPr>
          <w:rFonts w:ascii="Arial" w:hAnsi="Arial"/>
        </w:rPr>
      </w:pPr>
    </w:p>
    <w:p w14:paraId="14D39D15" w14:textId="77777777" w:rsidR="00E13D63" w:rsidRDefault="00E13D63" w:rsidP="00E13D63">
      <w:pPr>
        <w:rPr>
          <w:rFonts w:ascii="Arial" w:hAnsi="Arial"/>
        </w:rPr>
      </w:pPr>
      <w:r>
        <w:rPr>
          <w:rFonts w:ascii="Arial" w:hAnsi="Arial"/>
        </w:rPr>
        <w:t>Meeting ID: 932 9324 5406</w:t>
      </w:r>
    </w:p>
    <w:p w14:paraId="153DDB70" w14:textId="77777777" w:rsidR="00E13D63" w:rsidRDefault="00E13D63" w:rsidP="00E13D63">
      <w:pPr>
        <w:rPr>
          <w:rFonts w:ascii="Arial" w:hAnsi="Arial"/>
        </w:rPr>
      </w:pPr>
      <w:r>
        <w:rPr>
          <w:rFonts w:ascii="Arial" w:hAnsi="Arial"/>
        </w:rPr>
        <w:t>Password: 606839</w:t>
      </w:r>
    </w:p>
    <w:p w14:paraId="671EF214" w14:textId="188D22BE" w:rsidR="004130F1" w:rsidRPr="004130F1" w:rsidRDefault="0004414A" w:rsidP="004130F1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1: </w:t>
      </w:r>
      <w:r w:rsidR="0093351D">
        <w:rPr>
          <w:b/>
          <w:bCs/>
          <w:color w:val="000000" w:themeColor="text1"/>
        </w:rPr>
        <w:t>Welcome</w:t>
      </w:r>
      <w:r w:rsidR="000C5A09">
        <w:rPr>
          <w:b/>
          <w:bCs/>
          <w:color w:val="000000" w:themeColor="text1"/>
        </w:rPr>
        <w:t>, Ap</w:t>
      </w:r>
      <w:r w:rsidR="007307E1">
        <w:rPr>
          <w:b/>
          <w:bCs/>
          <w:color w:val="000000" w:themeColor="text1"/>
        </w:rPr>
        <w:t xml:space="preserve">ologies and </w:t>
      </w:r>
      <w:r w:rsidR="0085262A">
        <w:rPr>
          <w:b/>
          <w:bCs/>
          <w:color w:val="000000" w:themeColor="text1"/>
        </w:rPr>
        <w:t>welcome Led</w:t>
      </w:r>
      <w:r w:rsidR="001E764A">
        <w:rPr>
          <w:b/>
          <w:bCs/>
          <w:color w:val="000000" w:themeColor="text1"/>
        </w:rPr>
        <w:t xml:space="preserve"> by Janice</w:t>
      </w:r>
      <w:r w:rsidR="006A5670">
        <w:rPr>
          <w:b/>
          <w:bCs/>
          <w:color w:val="000000" w:themeColor="text1"/>
        </w:rPr>
        <w:t xml:space="preserve"> </w:t>
      </w:r>
      <w:r w:rsidR="000D6BCA">
        <w:rPr>
          <w:b/>
          <w:bCs/>
          <w:color w:val="000000" w:themeColor="text1"/>
        </w:rPr>
        <w:t>5 mins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0A0C1D" w:rsidRPr="007C0870" w14:paraId="71C4A3D0" w14:textId="77777777" w:rsidTr="008805EB">
        <w:trPr>
          <w:trHeight w:val="638"/>
        </w:trPr>
        <w:tc>
          <w:tcPr>
            <w:tcW w:w="1271" w:type="dxa"/>
          </w:tcPr>
          <w:p w14:paraId="57C66510" w14:textId="77777777" w:rsidR="000A0C1D" w:rsidRPr="004237B3" w:rsidRDefault="000A0C1D" w:rsidP="008805E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5294F69B" w14:textId="6CE26496" w:rsidR="003B565C" w:rsidRDefault="0085262A" w:rsidP="008805EB">
            <w:r>
              <w:t>To welcome</w:t>
            </w:r>
            <w:r w:rsidR="003B565C">
              <w:t xml:space="preserve"> and note apologies.</w:t>
            </w:r>
          </w:p>
          <w:p w14:paraId="711FF345" w14:textId="52F0F861" w:rsidR="00FC780E" w:rsidRPr="007C0870" w:rsidRDefault="00FC780E" w:rsidP="00FC780E"/>
        </w:tc>
      </w:tr>
      <w:tr w:rsidR="000A0C1D" w:rsidRPr="000C7A2D" w14:paraId="3BE1B3B7" w14:textId="77777777" w:rsidTr="008805EB">
        <w:trPr>
          <w:trHeight w:val="568"/>
        </w:trPr>
        <w:tc>
          <w:tcPr>
            <w:tcW w:w="1271" w:type="dxa"/>
          </w:tcPr>
          <w:p w14:paraId="1FCD453F" w14:textId="77777777" w:rsidR="000A0C1D" w:rsidRPr="004237B3" w:rsidRDefault="000A0C1D" w:rsidP="008805E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Outcomes</w:t>
            </w:r>
          </w:p>
        </w:tc>
        <w:tc>
          <w:tcPr>
            <w:tcW w:w="7745" w:type="dxa"/>
          </w:tcPr>
          <w:p w14:paraId="20E63DE8" w14:textId="7FA6023B" w:rsidR="000A0C1D" w:rsidRPr="000C7A2D" w:rsidRDefault="00D6413B" w:rsidP="008805EB">
            <w:r>
              <w:t>Janice welcomed the group to the meeting.</w:t>
            </w:r>
          </w:p>
        </w:tc>
      </w:tr>
    </w:tbl>
    <w:p w14:paraId="1F753B5D" w14:textId="4FB03F27" w:rsidR="00CA621E" w:rsidRDefault="00CA621E" w:rsidP="00CA621E">
      <w:pPr>
        <w:pStyle w:val="PlainText"/>
      </w:pPr>
    </w:p>
    <w:p w14:paraId="6F100AB2" w14:textId="58557FB4" w:rsidR="0072482C" w:rsidRPr="00BE6EE4" w:rsidRDefault="00695DCB" w:rsidP="00BE6EE4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0D6BCA">
        <w:rPr>
          <w:b/>
          <w:bCs/>
          <w:color w:val="000000" w:themeColor="text1"/>
        </w:rPr>
        <w:t>:</w:t>
      </w:r>
      <w:r w:rsidR="00BE6EE4">
        <w:rPr>
          <w:b/>
          <w:bCs/>
          <w:color w:val="000000" w:themeColor="text1"/>
        </w:rPr>
        <w:t xml:space="preserve"> </w:t>
      </w:r>
      <w:r w:rsidR="00E13D63">
        <w:rPr>
          <w:b/>
          <w:bCs/>
          <w:color w:val="000000" w:themeColor="text1"/>
        </w:rPr>
        <w:t xml:space="preserve"> PGD’s and Pharmacy Technicians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72482C" w14:paraId="3258CCBD" w14:textId="77777777" w:rsidTr="32C9ADD2">
        <w:trPr>
          <w:trHeight w:val="608"/>
        </w:trPr>
        <w:tc>
          <w:tcPr>
            <w:tcW w:w="1271" w:type="dxa"/>
          </w:tcPr>
          <w:p w14:paraId="55774161" w14:textId="77777777" w:rsidR="0072482C" w:rsidRPr="00C90D6E" w:rsidRDefault="0072482C" w:rsidP="00B37E84">
            <w:pPr>
              <w:rPr>
                <w:b/>
                <w:bCs/>
              </w:rPr>
            </w:pPr>
            <w:bookmarkStart w:id="0" w:name="_Hlk120111466"/>
            <w:r w:rsidRPr="00C90D6E"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0EFED1BA" w14:textId="77777777" w:rsidR="00BE6EE4" w:rsidRDefault="00F06918" w:rsidP="000D6B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Department of Health and Social Care (DHSC) are consulting on proposed changes in legislation to enable pharmacy technicians to supply and administer medicines under a PGD. </w:t>
            </w:r>
          </w:p>
          <w:p w14:paraId="792E4F9D" w14:textId="0F208195" w:rsidR="00F06918" w:rsidRDefault="00F06918" w:rsidP="000D6B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RPS will be responding to this consultation and would like to </w:t>
            </w:r>
            <w:r w:rsidR="00494A27">
              <w:rPr>
                <w:rFonts w:cstheme="minorHAnsi"/>
              </w:rPr>
              <w:t>capture</w:t>
            </w:r>
            <w:r>
              <w:rPr>
                <w:rFonts w:cstheme="minorHAnsi"/>
              </w:rPr>
              <w:t xml:space="preserve"> the views of CPEAG to help inform Boards.</w:t>
            </w:r>
          </w:p>
          <w:p w14:paraId="30D00394" w14:textId="106F9B96" w:rsidR="00AB3848" w:rsidRPr="00AB3848" w:rsidRDefault="00AB3848" w:rsidP="00AB384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AB3848">
              <w:rPr>
                <w:rFonts w:cstheme="minorHAnsi"/>
              </w:rPr>
              <w:t>Do you agree or disagree with the proposal?</w:t>
            </w:r>
          </w:p>
          <w:p w14:paraId="2D87FD3A" w14:textId="5030648B" w:rsidR="00AB3848" w:rsidRDefault="00AB3848" w:rsidP="00AB384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AB3848">
              <w:rPr>
                <w:rFonts w:cstheme="minorHAnsi"/>
              </w:rPr>
              <w:t>Do you agree or disagree that the 2-year pre-registration training equips pharmacy technicians with the appropriate knowledge and skills to </w:t>
            </w:r>
            <w:r w:rsidRPr="00AB3848">
              <w:rPr>
                <w:rFonts w:cstheme="minorHAnsi"/>
                <w:b/>
                <w:bCs/>
              </w:rPr>
              <w:t>complete the training requirements</w:t>
            </w:r>
            <w:r w:rsidRPr="00AB3848">
              <w:rPr>
                <w:rFonts w:cstheme="minorHAnsi"/>
              </w:rPr>
              <w:t> which allow them to use PGDs?</w:t>
            </w:r>
          </w:p>
          <w:p w14:paraId="23B6B0BF" w14:textId="3A4C12C1" w:rsidR="00AB3848" w:rsidRPr="0050505F" w:rsidRDefault="00AB3848" w:rsidP="000D6BCA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Are there any additional </w:t>
            </w:r>
            <w:r w:rsidR="0050505F">
              <w:rPr>
                <w:rFonts w:cstheme="minorHAnsi"/>
              </w:rPr>
              <w:t xml:space="preserve">requirements that need to be taken into </w:t>
            </w:r>
            <w:r w:rsidR="00B2122C">
              <w:rPr>
                <w:rFonts w:cstheme="minorHAnsi"/>
              </w:rPr>
              <w:t>consideration.</w:t>
            </w:r>
          </w:p>
          <w:p w14:paraId="5C6BE5B9" w14:textId="65736AB3" w:rsidR="00F06918" w:rsidRPr="00CA0CD2" w:rsidRDefault="00F06918" w:rsidP="000D6B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consultation can be found </w:t>
            </w:r>
            <w:hyperlink r:id="rId9" w:history="1">
              <w:r w:rsidRPr="00F06918">
                <w:rPr>
                  <w:rStyle w:val="Hyperlink"/>
                  <w:rFonts w:cstheme="minorHAnsi"/>
                </w:rPr>
                <w:t>here</w:t>
              </w:r>
            </w:hyperlink>
            <w:r>
              <w:rPr>
                <w:rFonts w:cstheme="minorHAnsi"/>
              </w:rPr>
              <w:t>.</w:t>
            </w:r>
          </w:p>
        </w:tc>
      </w:tr>
      <w:bookmarkEnd w:id="0"/>
      <w:tr w:rsidR="0072482C" w14:paraId="4F8AC75B" w14:textId="77777777" w:rsidTr="32C9ADD2">
        <w:trPr>
          <w:trHeight w:val="528"/>
        </w:trPr>
        <w:tc>
          <w:tcPr>
            <w:tcW w:w="1271" w:type="dxa"/>
          </w:tcPr>
          <w:p w14:paraId="13B34308" w14:textId="77777777" w:rsidR="0072482C" w:rsidRPr="00C90D6E" w:rsidRDefault="0072482C" w:rsidP="00B37E84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  <w:r w:rsidRPr="00C90D6E">
              <w:rPr>
                <w:b/>
                <w:bCs/>
              </w:rPr>
              <w:t>s</w:t>
            </w:r>
          </w:p>
        </w:tc>
        <w:tc>
          <w:tcPr>
            <w:tcW w:w="7745" w:type="dxa"/>
          </w:tcPr>
          <w:p w14:paraId="0F4D8ABA" w14:textId="54434547" w:rsidR="0072482C" w:rsidRDefault="00A73E82" w:rsidP="00F316FF">
            <w:r>
              <w:t>Alwyn introduced the consultation and explained a response from the RPS would be formed based on one that best reflects the views of board members across the three country boards.</w:t>
            </w:r>
          </w:p>
          <w:p w14:paraId="3CAD3225" w14:textId="47E04268" w:rsidR="00A73E82" w:rsidRDefault="00A73E82" w:rsidP="00B37E84">
            <w:r>
              <w:t>The format of the discussion was to gather views of CPEAG around the key questions of the consultation response</w:t>
            </w:r>
            <w:r w:rsidR="00F316FF">
              <w:t>.</w:t>
            </w:r>
          </w:p>
          <w:p w14:paraId="50B52035" w14:textId="01607A1C" w:rsidR="00A73E82" w:rsidRDefault="00A73E82" w:rsidP="00B37E84">
            <w:r>
              <w:t xml:space="preserve">The following gives an overview of the </w:t>
            </w:r>
            <w:r w:rsidR="00F316FF">
              <w:t>discussions</w:t>
            </w:r>
            <w:r>
              <w:t xml:space="preserve"> held</w:t>
            </w:r>
            <w:r w:rsidR="00F316FF">
              <w:t>.</w:t>
            </w:r>
          </w:p>
          <w:p w14:paraId="6A2E8B4D" w14:textId="77777777" w:rsidR="00F316FF" w:rsidRDefault="00F316FF" w:rsidP="00B37E84"/>
          <w:p w14:paraId="3772DFB5" w14:textId="7530BF79" w:rsidR="00F316FF" w:rsidRPr="004F62B3" w:rsidRDefault="00F316FF" w:rsidP="00B37E84">
            <w:pPr>
              <w:rPr>
                <w:b/>
                <w:bCs/>
                <w:i/>
                <w:iCs/>
              </w:rPr>
            </w:pPr>
            <w:r w:rsidRPr="004F62B3">
              <w:rPr>
                <w:b/>
                <w:bCs/>
                <w:i/>
                <w:iCs/>
              </w:rPr>
              <w:t>Question 1.</w:t>
            </w:r>
          </w:p>
          <w:p w14:paraId="1ACCD3D9" w14:textId="77777777" w:rsidR="00F316FF" w:rsidRPr="004F62B3" w:rsidRDefault="00F316FF" w:rsidP="00F316FF">
            <w:pPr>
              <w:rPr>
                <w:b/>
                <w:bCs/>
                <w:i/>
                <w:iCs/>
              </w:rPr>
            </w:pPr>
            <w:r w:rsidRPr="00F316FF">
              <w:rPr>
                <w:b/>
                <w:bCs/>
                <w:i/>
                <w:iCs/>
              </w:rPr>
              <w:t>Do you agree or disagree with the proposal to amend the Human Medicines Regulations (2012) to enable pharmacy technicians to supply and administer medicines to patients using patient group directions (PGDs)?</w:t>
            </w:r>
          </w:p>
          <w:p w14:paraId="5ED8A30F" w14:textId="77777777" w:rsidR="004F62B3" w:rsidRDefault="00F316FF" w:rsidP="00B03EB7">
            <w:pPr>
              <w:pStyle w:val="ListParagraph"/>
              <w:numPr>
                <w:ilvl w:val="0"/>
                <w:numId w:val="28"/>
              </w:numPr>
            </w:pPr>
            <w:r>
              <w:t>There was strong agreement within the group</w:t>
            </w:r>
            <w:r w:rsidR="004F62B3">
              <w:t xml:space="preserve">. </w:t>
            </w:r>
          </w:p>
          <w:p w14:paraId="26EC29E4" w14:textId="0A67AF49" w:rsidR="00266FA6" w:rsidRDefault="004F62B3" w:rsidP="00B03EB7">
            <w:pPr>
              <w:pStyle w:val="ListParagraph"/>
              <w:numPr>
                <w:ilvl w:val="0"/>
                <w:numId w:val="28"/>
              </w:numPr>
            </w:pPr>
            <w:r>
              <w:t>Pharmacy technicians are</w:t>
            </w:r>
            <w:r w:rsidR="00F316FF">
              <w:t xml:space="preserve"> registered </w:t>
            </w:r>
            <w:r>
              <w:t xml:space="preserve">professionals, and this would help with skill mix, service delivery and further releasing pharmacists for </w:t>
            </w:r>
            <w:r w:rsidR="00266FA6">
              <w:t>more complex clinical interventions and service delivery.</w:t>
            </w:r>
          </w:p>
          <w:p w14:paraId="5561AC12" w14:textId="38098AF0" w:rsidR="00F316FF" w:rsidRDefault="00266FA6" w:rsidP="00B03EB7">
            <w:pPr>
              <w:pStyle w:val="ListParagraph"/>
              <w:numPr>
                <w:ilvl w:val="0"/>
                <w:numId w:val="28"/>
              </w:numPr>
            </w:pPr>
            <w:r>
              <w:lastRenderedPageBreak/>
              <w:t xml:space="preserve">These changes could aid with </w:t>
            </w:r>
            <w:r w:rsidR="00F316FF">
              <w:t xml:space="preserve">staff retention – through utilising skill mix and </w:t>
            </w:r>
            <w:r>
              <w:t xml:space="preserve">helping improve overall </w:t>
            </w:r>
            <w:r w:rsidR="00F316FF">
              <w:t>job satisfaction</w:t>
            </w:r>
            <w:r w:rsidR="00BD2F11">
              <w:t xml:space="preserve"> and clearer career pathways and progression.</w:t>
            </w:r>
          </w:p>
          <w:p w14:paraId="30E40498" w14:textId="77777777" w:rsidR="00266FA6" w:rsidRDefault="00266FA6" w:rsidP="00266FA6"/>
          <w:p w14:paraId="2E39C32B" w14:textId="5ADC341F" w:rsidR="00266FA6" w:rsidRPr="00266FA6" w:rsidRDefault="00266FA6" w:rsidP="00266FA6">
            <w:pPr>
              <w:rPr>
                <w:b/>
                <w:bCs/>
                <w:i/>
                <w:iCs/>
              </w:rPr>
            </w:pPr>
            <w:r w:rsidRPr="00266FA6">
              <w:rPr>
                <w:b/>
                <w:bCs/>
                <w:i/>
                <w:iCs/>
              </w:rPr>
              <w:t>Question 2.</w:t>
            </w:r>
          </w:p>
          <w:p w14:paraId="325DF525" w14:textId="2F24B4D3" w:rsidR="00266FA6" w:rsidRDefault="00266FA6" w:rsidP="00266FA6">
            <w:pPr>
              <w:rPr>
                <w:b/>
                <w:bCs/>
                <w:i/>
                <w:iCs/>
              </w:rPr>
            </w:pPr>
            <w:r w:rsidRPr="00266FA6">
              <w:rPr>
                <w:b/>
                <w:bCs/>
                <w:i/>
                <w:iCs/>
              </w:rPr>
              <w:t>Do you agree or disagree that the 2-year pre-registration training equips pharmacy technicians with the appropriate knowledge and skills to complete the training requirements which allow them to use PGDs?</w:t>
            </w:r>
          </w:p>
          <w:p w14:paraId="40F8B250" w14:textId="77777777" w:rsidR="00266FA6" w:rsidRDefault="00266FA6" w:rsidP="00266FA6"/>
          <w:p w14:paraId="182729E3" w14:textId="5B2F4F19" w:rsidR="00266FA6" w:rsidRDefault="00CA0F74" w:rsidP="00B03EB7">
            <w:pPr>
              <w:pStyle w:val="ListParagraph"/>
              <w:numPr>
                <w:ilvl w:val="0"/>
                <w:numId w:val="28"/>
              </w:numPr>
            </w:pPr>
            <w:r>
              <w:t>Broad agreement within the group with the following considerations</w:t>
            </w:r>
          </w:p>
          <w:p w14:paraId="1BF37A08" w14:textId="5BA08403" w:rsidR="00CA0F74" w:rsidRDefault="00CA0F74" w:rsidP="00B03EB7">
            <w:pPr>
              <w:pStyle w:val="ListParagraph"/>
              <w:numPr>
                <w:ilvl w:val="0"/>
                <w:numId w:val="28"/>
              </w:numPr>
            </w:pPr>
            <w:r>
              <w:t>Not every</w:t>
            </w:r>
            <w:r w:rsidR="00BD2F11">
              <w:t xml:space="preserve"> </w:t>
            </w:r>
            <w:r w:rsidR="00F44DAC">
              <w:t>pharmacy technician</w:t>
            </w:r>
            <w:r>
              <w:t xml:space="preserve"> </w:t>
            </w:r>
            <w:r w:rsidR="00F44DAC">
              <w:t>may</w:t>
            </w:r>
            <w:r>
              <w:t xml:space="preserve"> want to take on new responsibilities.</w:t>
            </w:r>
          </w:p>
          <w:p w14:paraId="669D3FCC" w14:textId="4CC78DA4" w:rsidR="00CA0F74" w:rsidRDefault="00CA0F74" w:rsidP="00B03EB7">
            <w:pPr>
              <w:pStyle w:val="ListParagraph"/>
              <w:numPr>
                <w:ilvl w:val="0"/>
                <w:numId w:val="28"/>
              </w:numPr>
            </w:pPr>
            <w:r>
              <w:t xml:space="preserve">There will need to be training around ‘competence’ and acknowledging </w:t>
            </w:r>
            <w:r w:rsidR="000603E2">
              <w:t>competence but also the confidence of the pharmacy technician to deliver the service.</w:t>
            </w:r>
          </w:p>
          <w:p w14:paraId="39A56C79" w14:textId="71F2B719" w:rsidR="00CA0F74" w:rsidRDefault="00CA0F74" w:rsidP="00B03EB7">
            <w:pPr>
              <w:pStyle w:val="ListParagraph"/>
              <w:numPr>
                <w:ilvl w:val="0"/>
                <w:numId w:val="28"/>
              </w:numPr>
            </w:pPr>
            <w:r>
              <w:t xml:space="preserve">Those who qualified a significant time ago </w:t>
            </w:r>
            <w:r w:rsidR="006320FA">
              <w:t>may</w:t>
            </w:r>
            <w:r>
              <w:t xml:space="preserve"> need additional training</w:t>
            </w:r>
            <w:r w:rsidR="006320FA">
              <w:t xml:space="preserve"> as the current training course now includes additional clinical content.</w:t>
            </w:r>
          </w:p>
          <w:p w14:paraId="1A3F1EFF" w14:textId="1316FDBF" w:rsidR="00CA0F74" w:rsidRDefault="00CA0F74" w:rsidP="00B03EB7">
            <w:pPr>
              <w:pStyle w:val="ListParagraph"/>
              <w:numPr>
                <w:ilvl w:val="0"/>
                <w:numId w:val="28"/>
              </w:numPr>
            </w:pPr>
            <w:r>
              <w:t>Additional support and training around</w:t>
            </w:r>
            <w:r w:rsidR="0095534F">
              <w:t xml:space="preserve"> the</w:t>
            </w:r>
            <w:r>
              <w:t xml:space="preserve"> specialities of each PGD</w:t>
            </w:r>
            <w:r w:rsidR="000603E2">
              <w:t>.</w:t>
            </w:r>
          </w:p>
          <w:p w14:paraId="0294E998" w14:textId="2417908A" w:rsidR="00CA0F74" w:rsidRDefault="00CA0F74" w:rsidP="00B03EB7">
            <w:pPr>
              <w:pStyle w:val="ListParagraph"/>
              <w:numPr>
                <w:ilvl w:val="0"/>
                <w:numId w:val="28"/>
              </w:numPr>
            </w:pPr>
            <w:r>
              <w:t>Concerns</w:t>
            </w:r>
            <w:r w:rsidR="000603E2">
              <w:t xml:space="preserve"> raised</w:t>
            </w:r>
            <w:r>
              <w:t xml:space="preserve"> around private PGDs</w:t>
            </w:r>
            <w:r w:rsidR="0095534F">
              <w:t xml:space="preserve"> and the need to </w:t>
            </w:r>
            <w:r>
              <w:t>ensur</w:t>
            </w:r>
            <w:r w:rsidR="0095534F">
              <w:t>e</w:t>
            </w:r>
            <w:r>
              <w:t xml:space="preserve"> governance structures in place.</w:t>
            </w:r>
          </w:p>
          <w:p w14:paraId="6AED901C" w14:textId="207C468A" w:rsidR="00CA0F74" w:rsidRDefault="00CA0F74" w:rsidP="00B03EB7">
            <w:pPr>
              <w:pStyle w:val="ListParagraph"/>
              <w:numPr>
                <w:ilvl w:val="0"/>
                <w:numId w:val="28"/>
              </w:numPr>
            </w:pPr>
            <w:r>
              <w:t>Declaration of competence – will be new for technicians</w:t>
            </w:r>
            <w:r w:rsidR="000603E2">
              <w:t xml:space="preserve"> and</w:t>
            </w:r>
            <w:r>
              <w:t xml:space="preserve"> should be aligned with</w:t>
            </w:r>
            <w:r w:rsidR="0095534F">
              <w:t xml:space="preserve"> the process for</w:t>
            </w:r>
            <w:r>
              <w:t xml:space="preserve"> pharmacists</w:t>
            </w:r>
            <w:r w:rsidR="000603E2">
              <w:t>.</w:t>
            </w:r>
          </w:p>
          <w:p w14:paraId="40EDC4A0" w14:textId="3238F2D2" w:rsidR="00CA0F74" w:rsidRDefault="00CA0F74" w:rsidP="00B03EB7">
            <w:pPr>
              <w:pStyle w:val="ListParagraph"/>
              <w:numPr>
                <w:ilvl w:val="0"/>
                <w:numId w:val="28"/>
              </w:numPr>
            </w:pPr>
            <w:r>
              <w:t xml:space="preserve">Initial training needs to encompass </w:t>
            </w:r>
            <w:r w:rsidR="000603E2">
              <w:t>the understanding of the PGD service</w:t>
            </w:r>
            <w:r w:rsidR="00C91744">
              <w:t>.</w:t>
            </w:r>
          </w:p>
          <w:p w14:paraId="7C9D0D95" w14:textId="0A03B8C1" w:rsidR="00CA0F74" w:rsidRDefault="00CA0F74" w:rsidP="00B03EB7">
            <w:pPr>
              <w:pStyle w:val="ListParagraph"/>
              <w:numPr>
                <w:ilvl w:val="0"/>
                <w:numId w:val="28"/>
              </w:numPr>
            </w:pPr>
            <w:r>
              <w:t>Service specification dictates how a service is ru</w:t>
            </w:r>
            <w:r w:rsidR="000603E2">
              <w:t>n, f</w:t>
            </w:r>
            <w:r>
              <w:t xml:space="preserve">or example, bridging contraception </w:t>
            </w:r>
            <w:r w:rsidR="000603E2">
              <w:t>potentially requires</w:t>
            </w:r>
            <w:r>
              <w:t xml:space="preserve"> a greater clinical input </w:t>
            </w:r>
            <w:r w:rsidR="000603E2">
              <w:t>and may need to be ‘a pharmacist only service’.</w:t>
            </w:r>
          </w:p>
          <w:p w14:paraId="6144801B" w14:textId="77777777" w:rsidR="00CA0F74" w:rsidRDefault="00CA0F74" w:rsidP="000603E2"/>
          <w:p w14:paraId="38E054C0" w14:textId="0C7F4909" w:rsidR="000603E2" w:rsidRPr="000603E2" w:rsidRDefault="000603E2" w:rsidP="000603E2">
            <w:pPr>
              <w:rPr>
                <w:b/>
                <w:bCs/>
                <w:i/>
                <w:iCs/>
              </w:rPr>
            </w:pPr>
            <w:r w:rsidRPr="000603E2">
              <w:rPr>
                <w:b/>
                <w:bCs/>
                <w:i/>
                <w:iCs/>
              </w:rPr>
              <w:t>Question 3.</w:t>
            </w:r>
          </w:p>
          <w:p w14:paraId="363FD52F" w14:textId="77777777" w:rsidR="000603E2" w:rsidRDefault="000603E2" w:rsidP="000603E2">
            <w:pPr>
              <w:rPr>
                <w:b/>
                <w:bCs/>
                <w:i/>
                <w:iCs/>
              </w:rPr>
            </w:pPr>
            <w:r w:rsidRPr="000603E2">
              <w:rPr>
                <w:b/>
                <w:bCs/>
                <w:i/>
                <w:iCs/>
              </w:rPr>
              <w:t>Do you agree or disagree that allowing pharmacy technicians to supply and/or administer under a PGD will enable safe access to medicines for patients?</w:t>
            </w:r>
          </w:p>
          <w:p w14:paraId="397C08F9" w14:textId="77777777" w:rsidR="000603E2" w:rsidRDefault="000603E2" w:rsidP="000603E2">
            <w:pPr>
              <w:rPr>
                <w:b/>
                <w:bCs/>
                <w:i/>
                <w:iCs/>
              </w:rPr>
            </w:pPr>
          </w:p>
          <w:p w14:paraId="7FDF63DB" w14:textId="0F9D0A7A" w:rsidR="000603E2" w:rsidRDefault="000603E2" w:rsidP="00B03EB7">
            <w:pPr>
              <w:pStyle w:val="ListParagraph"/>
              <w:numPr>
                <w:ilvl w:val="0"/>
                <w:numId w:val="28"/>
              </w:numPr>
            </w:pPr>
            <w:r>
              <w:t>There was agreement within the group.</w:t>
            </w:r>
          </w:p>
          <w:p w14:paraId="3806D25A" w14:textId="46313423" w:rsidR="000603E2" w:rsidRDefault="000603E2" w:rsidP="00B03EB7">
            <w:pPr>
              <w:pStyle w:val="ListParagraph"/>
              <w:numPr>
                <w:ilvl w:val="0"/>
                <w:numId w:val="28"/>
              </w:numPr>
            </w:pPr>
            <w:r>
              <w:t>PGD has an extensive inclusion and exclusion criteria, a set format to follow, ‘it’s hard to go wrong’ in effect.</w:t>
            </w:r>
            <w:r w:rsidR="00C91744">
              <w:t xml:space="preserve"> </w:t>
            </w:r>
            <w:r w:rsidR="008A6AD8">
              <w:t xml:space="preserve">High levels of compliance are expected. </w:t>
            </w:r>
          </w:p>
          <w:p w14:paraId="78C0A208" w14:textId="559677A3" w:rsidR="000603E2" w:rsidRDefault="000603E2" w:rsidP="00B03EB7">
            <w:pPr>
              <w:pStyle w:val="ListParagraph"/>
              <w:numPr>
                <w:ilvl w:val="0"/>
                <w:numId w:val="28"/>
              </w:numPr>
            </w:pPr>
            <w:r>
              <w:t>Technicians will need support but are already used to referring to the pharmacist.</w:t>
            </w:r>
          </w:p>
          <w:p w14:paraId="6C4F0367" w14:textId="11CCA083" w:rsidR="000603E2" w:rsidRDefault="000603E2" w:rsidP="00B03EB7">
            <w:pPr>
              <w:pStyle w:val="ListParagraph"/>
              <w:numPr>
                <w:ilvl w:val="0"/>
                <w:numId w:val="28"/>
              </w:numPr>
            </w:pPr>
            <w:r>
              <w:t>Technology can help with the consultation … protocol driven</w:t>
            </w:r>
            <w:r w:rsidR="008A6AD8">
              <w:t xml:space="preserve"> supply,</w:t>
            </w:r>
            <w:r>
              <w:t xml:space="preserve"> step wise online form that helps </w:t>
            </w:r>
            <w:r w:rsidR="008A6AD8">
              <w:t xml:space="preserve">guide </w:t>
            </w:r>
            <w:r>
              <w:t>the pharmacy technician.</w:t>
            </w:r>
          </w:p>
          <w:p w14:paraId="2E426A13" w14:textId="00D0B2D4" w:rsidR="000603E2" w:rsidRDefault="000603E2" w:rsidP="00B03EB7">
            <w:pPr>
              <w:pStyle w:val="ListParagraph"/>
              <w:numPr>
                <w:ilvl w:val="0"/>
                <w:numId w:val="28"/>
              </w:numPr>
            </w:pPr>
            <w:r>
              <w:t>Strength and leadership … pharmacy technicians will need to have that final say, sometimes with patients it may need to be, ‘I can’t give this under the PGD’.</w:t>
            </w:r>
          </w:p>
          <w:p w14:paraId="44A4C0C6" w14:textId="68A9ED6B" w:rsidR="000603E2" w:rsidRDefault="000603E2" w:rsidP="00B03EB7">
            <w:pPr>
              <w:pStyle w:val="ListParagraph"/>
              <w:numPr>
                <w:ilvl w:val="0"/>
                <w:numId w:val="28"/>
              </w:numPr>
            </w:pPr>
            <w:r>
              <w:t>PGDs should be used for ‘one off’ not regular supplies.</w:t>
            </w:r>
          </w:p>
          <w:p w14:paraId="234D4E0A" w14:textId="77777777" w:rsidR="000603E2" w:rsidRDefault="000603E2" w:rsidP="00472DB1"/>
          <w:p w14:paraId="7FCD5B1A" w14:textId="10F869DA" w:rsidR="00472DB1" w:rsidRPr="00472DB1" w:rsidRDefault="00472DB1" w:rsidP="00472DB1">
            <w:pPr>
              <w:rPr>
                <w:b/>
                <w:bCs/>
                <w:i/>
                <w:iCs/>
              </w:rPr>
            </w:pPr>
            <w:r w:rsidRPr="00472DB1">
              <w:rPr>
                <w:b/>
                <w:bCs/>
                <w:i/>
                <w:iCs/>
              </w:rPr>
              <w:t>Question 4.</w:t>
            </w:r>
          </w:p>
          <w:p w14:paraId="781000AE" w14:textId="4609C4BD" w:rsidR="00472DB1" w:rsidRDefault="00472DB1" w:rsidP="00472DB1">
            <w:pPr>
              <w:rPr>
                <w:b/>
                <w:bCs/>
                <w:i/>
                <w:iCs/>
              </w:rPr>
            </w:pPr>
            <w:r w:rsidRPr="00472DB1">
              <w:rPr>
                <w:b/>
                <w:bCs/>
                <w:i/>
                <w:iCs/>
              </w:rPr>
              <w:t>This proposal is to allow registered pharmacy technicians to supply and administer medicines using a PGD. Do you have additional information in support of this proposal or for why this proposal should not go ahead? </w:t>
            </w:r>
          </w:p>
          <w:p w14:paraId="47E2BB1C" w14:textId="77777777" w:rsidR="00472DB1" w:rsidRDefault="00472DB1" w:rsidP="00472DB1"/>
          <w:p w14:paraId="1929C462" w14:textId="611AB509" w:rsidR="00472DB1" w:rsidRDefault="00472DB1" w:rsidP="00B03EB7">
            <w:pPr>
              <w:pStyle w:val="ListParagraph"/>
              <w:numPr>
                <w:ilvl w:val="0"/>
                <w:numId w:val="28"/>
              </w:numPr>
            </w:pPr>
            <w:r>
              <w:t>Nothing to suggest why this proposal shouldn’t go ahead, just some considerations.</w:t>
            </w:r>
          </w:p>
          <w:p w14:paraId="53DEA90D" w14:textId="28627968" w:rsidR="00B03EB7" w:rsidRDefault="00B03EB7" w:rsidP="00B03EB7">
            <w:pPr>
              <w:pStyle w:val="ListParagraph"/>
              <w:numPr>
                <w:ilvl w:val="0"/>
                <w:numId w:val="28"/>
              </w:numPr>
            </w:pPr>
            <w:r>
              <w:lastRenderedPageBreak/>
              <w:t>Service shouldn’t be under</w:t>
            </w:r>
            <w:r w:rsidR="00141A4B">
              <w:t>-</w:t>
            </w:r>
            <w:r>
              <w:t>valued</w:t>
            </w:r>
            <w:r w:rsidR="00141A4B">
              <w:t xml:space="preserve"> due to the involvement of pharmacy technicians </w:t>
            </w:r>
            <w:r>
              <w:t>and funding must reflect the service</w:t>
            </w:r>
            <w:r w:rsidR="00432980">
              <w:t>.</w:t>
            </w:r>
          </w:p>
          <w:p w14:paraId="20083084" w14:textId="2A44A96B" w:rsidR="00B03EB7" w:rsidRDefault="00B03EB7" w:rsidP="00B03EB7">
            <w:pPr>
              <w:pStyle w:val="ListParagraph"/>
              <w:numPr>
                <w:ilvl w:val="0"/>
                <w:numId w:val="28"/>
              </w:numPr>
            </w:pPr>
            <w:r>
              <w:t>Potential need for additional consultation rooms, hence additional cost investment.</w:t>
            </w:r>
          </w:p>
          <w:p w14:paraId="7539F4CB" w14:textId="77777777" w:rsidR="00B03EB7" w:rsidRDefault="00B03EB7" w:rsidP="00B03EB7">
            <w:pPr>
              <w:pStyle w:val="ListParagraph"/>
              <w:numPr>
                <w:ilvl w:val="0"/>
                <w:numId w:val="28"/>
              </w:numPr>
            </w:pPr>
            <w:r>
              <w:t>Cost of additional backfill to release pharmacy technician for training.</w:t>
            </w:r>
          </w:p>
          <w:p w14:paraId="4B70FC77" w14:textId="5356B019" w:rsidR="00B03EB7" w:rsidRDefault="00B03EB7" w:rsidP="00B03EB7">
            <w:pPr>
              <w:pStyle w:val="ListParagraph"/>
              <w:numPr>
                <w:ilvl w:val="0"/>
                <w:numId w:val="28"/>
              </w:numPr>
            </w:pPr>
            <w:r>
              <w:t>Risk that some pharmacy technicians may not want to undertake this and may decide to leave, cost of replacement/retraining of staff</w:t>
            </w:r>
            <w:r w:rsidR="00432980">
              <w:t>.</w:t>
            </w:r>
          </w:p>
          <w:p w14:paraId="489250A6" w14:textId="432D9677" w:rsidR="00B03EB7" w:rsidRDefault="00B03EB7" w:rsidP="00B03EB7">
            <w:pPr>
              <w:pStyle w:val="ListParagraph"/>
              <w:numPr>
                <w:ilvl w:val="0"/>
                <w:numId w:val="28"/>
              </w:numPr>
            </w:pPr>
            <w:r>
              <w:t>Element of cost but there was a feeling currently losing pharmacy technicians out of community to secondary care, so must embrace shifting the skill mix to aid retention.</w:t>
            </w:r>
          </w:p>
          <w:p w14:paraId="4A6023EE" w14:textId="73DAEBA0" w:rsidR="00432980" w:rsidRDefault="00432980" w:rsidP="00B03EB7">
            <w:pPr>
              <w:pStyle w:val="ListParagraph"/>
              <w:numPr>
                <w:ilvl w:val="0"/>
                <w:numId w:val="28"/>
              </w:numPr>
            </w:pPr>
            <w:r>
              <w:t>General view is that pharmacy technicians supplying via PGD would expect a salary increase for the additional responsibility.</w:t>
            </w:r>
          </w:p>
          <w:p w14:paraId="302CCDF7" w14:textId="308E4DB7" w:rsidR="00B03EB7" w:rsidRDefault="00B03EB7" w:rsidP="00B03EB7">
            <w:pPr>
              <w:pStyle w:val="ListParagraph"/>
              <w:numPr>
                <w:ilvl w:val="0"/>
                <w:numId w:val="28"/>
              </w:numPr>
            </w:pPr>
            <w:r>
              <w:t>Advantages were seen to outweigh benefits, potential to increase capacity within the team and increase access to services.</w:t>
            </w:r>
          </w:p>
          <w:p w14:paraId="129596C7" w14:textId="460B8657" w:rsidR="00432980" w:rsidRDefault="00E75C68" w:rsidP="00B03EB7">
            <w:pPr>
              <w:pStyle w:val="ListParagraph"/>
              <w:numPr>
                <w:ilvl w:val="0"/>
                <w:numId w:val="28"/>
              </w:numPr>
            </w:pPr>
            <w:r>
              <w:t>Role and governance oversight of locums needs consideration.</w:t>
            </w:r>
          </w:p>
          <w:p w14:paraId="540BBD63" w14:textId="77777777" w:rsidR="00472DB1" w:rsidRPr="00472DB1" w:rsidRDefault="00472DB1" w:rsidP="00B03EB7"/>
          <w:p w14:paraId="72261123" w14:textId="77777777" w:rsidR="000603E2" w:rsidRPr="00266FA6" w:rsidRDefault="000603E2" w:rsidP="000603E2"/>
          <w:p w14:paraId="549141F9" w14:textId="77777777" w:rsidR="00266FA6" w:rsidRDefault="00266FA6" w:rsidP="00266FA6"/>
          <w:p w14:paraId="5F1F519C" w14:textId="2DBD180E" w:rsidR="00A73E82" w:rsidRPr="00CA621E" w:rsidRDefault="00A73E82" w:rsidP="00B37E84"/>
        </w:tc>
      </w:tr>
    </w:tbl>
    <w:p w14:paraId="721B9708" w14:textId="77777777" w:rsidR="0072482C" w:rsidRDefault="0072482C" w:rsidP="004130F1">
      <w:pPr>
        <w:spacing w:after="0"/>
      </w:pPr>
    </w:p>
    <w:p w14:paraId="7423E857" w14:textId="31F61314" w:rsidR="00096DE7" w:rsidRPr="00337EF2" w:rsidRDefault="00BE6EE4" w:rsidP="00096DE7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3: </w:t>
      </w:r>
      <w:r w:rsidR="00E13D63">
        <w:rPr>
          <w:b/>
          <w:bCs/>
          <w:color w:val="000000" w:themeColor="text1"/>
        </w:rPr>
        <w:t>AOB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096DE7" w:rsidRPr="00096DE7" w14:paraId="76819742" w14:textId="77777777" w:rsidTr="25252FA2">
        <w:trPr>
          <w:trHeight w:val="638"/>
        </w:trPr>
        <w:tc>
          <w:tcPr>
            <w:tcW w:w="1271" w:type="dxa"/>
          </w:tcPr>
          <w:p w14:paraId="20953EA1" w14:textId="5435FB6A" w:rsidR="00096DE7" w:rsidRPr="00B746EA" w:rsidRDefault="00B746EA" w:rsidP="00165AB7">
            <w:pPr>
              <w:rPr>
                <w:b/>
                <w:bCs/>
              </w:rPr>
            </w:pPr>
            <w:r w:rsidRPr="00B746EA">
              <w:rPr>
                <w:b/>
                <w:bCs/>
              </w:rPr>
              <w:t xml:space="preserve">Purpose </w:t>
            </w:r>
          </w:p>
        </w:tc>
        <w:tc>
          <w:tcPr>
            <w:tcW w:w="7745" w:type="dxa"/>
          </w:tcPr>
          <w:p w14:paraId="1890650E" w14:textId="02564154" w:rsidR="00BE6EE4" w:rsidRPr="001A4300" w:rsidRDefault="00AB3848" w:rsidP="00165AB7">
            <w:pPr>
              <w:rPr>
                <w:rFonts w:ascii="Calibri" w:hAnsi="Calibri" w:cs="Calibri"/>
                <w:color w:val="000000" w:themeColor="text1"/>
              </w:rPr>
            </w:pPr>
            <w:r w:rsidRPr="25252FA2">
              <w:rPr>
                <w:rFonts w:ascii="Calibri" w:eastAsia="Calibri" w:hAnsi="Calibri" w:cs="Calibri"/>
                <w:color w:val="000000" w:themeColor="text1"/>
              </w:rPr>
              <w:t>To discuss any other business</w:t>
            </w:r>
          </w:p>
        </w:tc>
      </w:tr>
      <w:tr w:rsidR="00096DE7" w:rsidRPr="00096DE7" w14:paraId="79BF84D4" w14:textId="77777777" w:rsidTr="25252FA2">
        <w:trPr>
          <w:trHeight w:val="568"/>
        </w:trPr>
        <w:tc>
          <w:tcPr>
            <w:tcW w:w="1271" w:type="dxa"/>
          </w:tcPr>
          <w:p w14:paraId="6494C2A0" w14:textId="64AF540C" w:rsidR="00096DE7" w:rsidRPr="009C47DB" w:rsidRDefault="00D12E6B" w:rsidP="00165AB7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096DE7" w:rsidRPr="009C47DB">
              <w:rPr>
                <w:b/>
                <w:bCs/>
              </w:rPr>
              <w:t>utcomes</w:t>
            </w:r>
          </w:p>
        </w:tc>
        <w:tc>
          <w:tcPr>
            <w:tcW w:w="7745" w:type="dxa"/>
          </w:tcPr>
          <w:p w14:paraId="4F73040B" w14:textId="77777777" w:rsidR="00096DE7" w:rsidRDefault="00DD356B" w:rsidP="00165AB7">
            <w:pPr>
              <w:rPr>
                <w:b/>
                <w:bCs/>
              </w:rPr>
            </w:pPr>
            <w:r w:rsidRPr="00DD356B">
              <w:rPr>
                <w:b/>
                <w:bCs/>
              </w:rPr>
              <w:t>Membership of CPEAG</w:t>
            </w:r>
          </w:p>
          <w:p w14:paraId="7555CC69" w14:textId="46F22B6C" w:rsidR="00DD356B" w:rsidRPr="00EE475E" w:rsidRDefault="00DD356B" w:rsidP="00DD356B">
            <w:pPr>
              <w:pStyle w:val="ListParagraph"/>
              <w:numPr>
                <w:ilvl w:val="0"/>
                <w:numId w:val="30"/>
              </w:numPr>
              <w:rPr>
                <w:b/>
                <w:bCs/>
              </w:rPr>
            </w:pPr>
            <w:r>
              <w:t xml:space="preserve">Discussion around membership of CPEAG and potential to replace some original members who </w:t>
            </w:r>
            <w:r w:rsidR="00EE475E">
              <w:t>have left sin</w:t>
            </w:r>
            <w:r w:rsidR="00E75C68">
              <w:t>c</w:t>
            </w:r>
            <w:r w:rsidR="00EE475E">
              <w:t>e the group was formed.</w:t>
            </w:r>
          </w:p>
          <w:p w14:paraId="2448B734" w14:textId="14A90D60" w:rsidR="00EE475E" w:rsidRPr="00566D1E" w:rsidRDefault="00EE475E" w:rsidP="00DD356B">
            <w:pPr>
              <w:pStyle w:val="ListParagraph"/>
              <w:numPr>
                <w:ilvl w:val="0"/>
                <w:numId w:val="30"/>
              </w:numPr>
              <w:rPr>
                <w:b/>
                <w:bCs/>
              </w:rPr>
            </w:pPr>
            <w:r>
              <w:t>Feeling that it would be preferable to replace any members who have left and nice to have some different views and perspective.</w:t>
            </w:r>
          </w:p>
          <w:p w14:paraId="0AD228F0" w14:textId="5BD3C375" w:rsidR="00EE475E" w:rsidRPr="00EE475E" w:rsidRDefault="00EE475E" w:rsidP="00DD356B">
            <w:pPr>
              <w:pStyle w:val="ListParagraph"/>
              <w:numPr>
                <w:ilvl w:val="0"/>
                <w:numId w:val="30"/>
              </w:numPr>
              <w:rPr>
                <w:b/>
                <w:bCs/>
              </w:rPr>
            </w:pPr>
            <w:r>
              <w:t>Concern about</w:t>
            </w:r>
            <w:r w:rsidR="00E75C68">
              <w:t xml:space="preserve"> the risk of</w:t>
            </w:r>
            <w:r>
              <w:t xml:space="preserve"> all</w:t>
            </w:r>
            <w:r w:rsidR="00E75C68">
              <w:t xml:space="preserve"> current</w:t>
            </w:r>
            <w:r>
              <w:t xml:space="preserve"> members leaving at the same time after end of stated term</w:t>
            </w:r>
            <w:r w:rsidR="00D71995">
              <w:t>. F</w:t>
            </w:r>
            <w:r>
              <w:t>or continuity</w:t>
            </w:r>
            <w:r w:rsidR="00D71995">
              <w:t xml:space="preserve"> </w:t>
            </w:r>
            <w:r>
              <w:t xml:space="preserve">it would be better to have overlap between new members joining and </w:t>
            </w:r>
            <w:r w:rsidR="00501731">
              <w:t>older members coming to the end of their term.</w:t>
            </w:r>
          </w:p>
          <w:p w14:paraId="351EDAA4" w14:textId="77777777" w:rsidR="00EE475E" w:rsidRDefault="00EE475E" w:rsidP="00DD356B">
            <w:pPr>
              <w:pStyle w:val="ListParagraph"/>
              <w:numPr>
                <w:ilvl w:val="0"/>
                <w:numId w:val="30"/>
              </w:numPr>
            </w:pPr>
            <w:r w:rsidRPr="00EE475E">
              <w:t xml:space="preserve">Alwyn to take back to country Directors </w:t>
            </w:r>
            <w:r>
              <w:t>alongside other staff members who take responsibility for the different EAGs for a decision to be made in terms of recruitment at this stage</w:t>
            </w:r>
            <w:r w:rsidR="00501731">
              <w:t>.</w:t>
            </w:r>
          </w:p>
          <w:p w14:paraId="2F92795F" w14:textId="77777777" w:rsidR="00566D1E" w:rsidRDefault="00566D1E" w:rsidP="00566D1E"/>
          <w:p w14:paraId="39FB5382" w14:textId="19593FEF" w:rsidR="00566D1E" w:rsidRPr="00566D1E" w:rsidRDefault="00581C17" w:rsidP="00566D1E">
            <w:r>
              <w:rPr>
                <w:color w:val="FF0000"/>
              </w:rPr>
              <w:t xml:space="preserve"> </w:t>
            </w:r>
          </w:p>
        </w:tc>
      </w:tr>
    </w:tbl>
    <w:p w14:paraId="13BBE4F3" w14:textId="77777777" w:rsidR="00B71420" w:rsidRDefault="00B71420" w:rsidP="00D12E6B">
      <w:pPr>
        <w:spacing w:after="0"/>
      </w:pPr>
    </w:p>
    <w:p w14:paraId="5CC9F7EF" w14:textId="77777777" w:rsidR="00BE6EE4" w:rsidRDefault="00BE6EE4" w:rsidP="00D12E6B">
      <w:pPr>
        <w:spacing w:after="0"/>
      </w:pPr>
    </w:p>
    <w:p w14:paraId="75BB8862" w14:textId="77777777" w:rsidR="00BE6EE4" w:rsidRDefault="00BE6EE4" w:rsidP="00D12E6B">
      <w:pPr>
        <w:spacing w:after="0"/>
      </w:pPr>
    </w:p>
    <w:sectPr w:rsidR="00BE6E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74BB" w14:textId="77777777" w:rsidR="00753A45" w:rsidRDefault="00753A45" w:rsidP="00E14CCB">
      <w:pPr>
        <w:spacing w:after="0" w:line="240" w:lineRule="auto"/>
      </w:pPr>
      <w:r>
        <w:separator/>
      </w:r>
    </w:p>
  </w:endnote>
  <w:endnote w:type="continuationSeparator" w:id="0">
    <w:p w14:paraId="5D36D094" w14:textId="77777777" w:rsidR="00753A45" w:rsidRDefault="00753A45" w:rsidP="00E1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9964" w14:textId="77777777" w:rsidR="00F57CA6" w:rsidRDefault="00F57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B992" w14:textId="77777777" w:rsidR="00F57CA6" w:rsidRDefault="00F57C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B4BB" w14:textId="77777777" w:rsidR="00F57CA6" w:rsidRDefault="00F57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3C34" w14:textId="77777777" w:rsidR="00753A45" w:rsidRDefault="00753A45" w:rsidP="00E14CCB">
      <w:pPr>
        <w:spacing w:after="0" w:line="240" w:lineRule="auto"/>
      </w:pPr>
      <w:r>
        <w:separator/>
      </w:r>
    </w:p>
  </w:footnote>
  <w:footnote w:type="continuationSeparator" w:id="0">
    <w:p w14:paraId="342904F7" w14:textId="77777777" w:rsidR="00753A45" w:rsidRDefault="00753A45" w:rsidP="00E1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3C62" w14:textId="77777777" w:rsidR="00F57CA6" w:rsidRDefault="00F57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312C" w14:textId="1B373708" w:rsidR="00E14CCB" w:rsidRDefault="00E14CCB">
    <w:pPr>
      <w:pStyle w:val="Header"/>
    </w:pPr>
    <w:r w:rsidRPr="00BB06E3">
      <w:rPr>
        <w:noProof/>
        <w:lang w:eastAsia="en-GB"/>
      </w:rPr>
      <w:drawing>
        <wp:inline distT="0" distB="0" distL="0" distR="0" wp14:anchorId="71F68B44" wp14:editId="42A1F983">
          <wp:extent cx="1647825" cy="486647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PS_Primary_Brandmark_Dark_R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929" cy="493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86F0" w14:textId="77777777" w:rsidR="00F57CA6" w:rsidRDefault="00F57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A8D"/>
    <w:multiLevelType w:val="hybridMultilevel"/>
    <w:tmpl w:val="AA7CD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B36E5"/>
    <w:multiLevelType w:val="hybridMultilevel"/>
    <w:tmpl w:val="4538E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E5ED2"/>
    <w:multiLevelType w:val="hybridMultilevel"/>
    <w:tmpl w:val="854640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152B34"/>
    <w:multiLevelType w:val="hybridMultilevel"/>
    <w:tmpl w:val="5C22D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22198"/>
    <w:multiLevelType w:val="hybridMultilevel"/>
    <w:tmpl w:val="D3202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FF6"/>
    <w:multiLevelType w:val="hybridMultilevel"/>
    <w:tmpl w:val="6128C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9C7E1C"/>
    <w:multiLevelType w:val="hybridMultilevel"/>
    <w:tmpl w:val="866439AE"/>
    <w:lvl w:ilvl="0" w:tplc="3CCE1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715E"/>
    <w:multiLevelType w:val="hybridMultilevel"/>
    <w:tmpl w:val="E5A22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D1F38"/>
    <w:multiLevelType w:val="hybridMultilevel"/>
    <w:tmpl w:val="A78651F8"/>
    <w:lvl w:ilvl="0" w:tplc="2E26D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D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41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E43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8B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B8D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E0E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E0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3C3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8ED00CD"/>
    <w:multiLevelType w:val="hybridMultilevel"/>
    <w:tmpl w:val="2ABE2B44"/>
    <w:lvl w:ilvl="0" w:tplc="A3C06B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F47DD"/>
    <w:multiLevelType w:val="hybridMultilevel"/>
    <w:tmpl w:val="6FC0AA92"/>
    <w:lvl w:ilvl="0" w:tplc="43F45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E42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C28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64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02B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04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C5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E8E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72C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1A37DFE"/>
    <w:multiLevelType w:val="hybridMultilevel"/>
    <w:tmpl w:val="AEBE2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81C72"/>
    <w:multiLevelType w:val="hybridMultilevel"/>
    <w:tmpl w:val="F35E1B7E"/>
    <w:lvl w:ilvl="0" w:tplc="1EBA2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C7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E3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81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84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8E5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D8B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DCB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00C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424170"/>
    <w:multiLevelType w:val="hybridMultilevel"/>
    <w:tmpl w:val="AF50FE68"/>
    <w:lvl w:ilvl="0" w:tplc="7AF818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D5B19"/>
    <w:multiLevelType w:val="hybridMultilevel"/>
    <w:tmpl w:val="13248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832F5"/>
    <w:multiLevelType w:val="hybridMultilevel"/>
    <w:tmpl w:val="56CA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002ED"/>
    <w:multiLevelType w:val="hybridMultilevel"/>
    <w:tmpl w:val="C094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50A62"/>
    <w:multiLevelType w:val="hybridMultilevel"/>
    <w:tmpl w:val="66D46810"/>
    <w:lvl w:ilvl="0" w:tplc="0360D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B6245"/>
    <w:multiLevelType w:val="hybridMultilevel"/>
    <w:tmpl w:val="5E92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C7214"/>
    <w:multiLevelType w:val="hybridMultilevel"/>
    <w:tmpl w:val="7F7E7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465E9"/>
    <w:multiLevelType w:val="hybridMultilevel"/>
    <w:tmpl w:val="DF22D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450DC"/>
    <w:multiLevelType w:val="hybridMultilevel"/>
    <w:tmpl w:val="7C9E5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563C6"/>
    <w:multiLevelType w:val="hybridMultilevel"/>
    <w:tmpl w:val="E45C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C533F"/>
    <w:multiLevelType w:val="hybridMultilevel"/>
    <w:tmpl w:val="69486A06"/>
    <w:lvl w:ilvl="0" w:tplc="66065D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B22F5"/>
    <w:multiLevelType w:val="hybridMultilevel"/>
    <w:tmpl w:val="8E281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36DB4"/>
    <w:multiLevelType w:val="hybridMultilevel"/>
    <w:tmpl w:val="AFBC6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C33C0"/>
    <w:multiLevelType w:val="hybridMultilevel"/>
    <w:tmpl w:val="F8D21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1A1A91"/>
    <w:multiLevelType w:val="hybridMultilevel"/>
    <w:tmpl w:val="DD48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140E1"/>
    <w:multiLevelType w:val="hybridMultilevel"/>
    <w:tmpl w:val="7C3A6164"/>
    <w:lvl w:ilvl="0" w:tplc="9EF0F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85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C6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08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84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9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003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404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B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C4661CF"/>
    <w:multiLevelType w:val="hybridMultilevel"/>
    <w:tmpl w:val="B03434EE"/>
    <w:lvl w:ilvl="0" w:tplc="733EA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B64F04"/>
    <w:multiLevelType w:val="hybridMultilevel"/>
    <w:tmpl w:val="4A5E817E"/>
    <w:lvl w:ilvl="0" w:tplc="56A09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AB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FA6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2F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8A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AC9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EE9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41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07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0479145">
    <w:abstractNumId w:val="16"/>
  </w:num>
  <w:num w:numId="2" w16cid:durableId="1151947391">
    <w:abstractNumId w:val="21"/>
  </w:num>
  <w:num w:numId="3" w16cid:durableId="993219550">
    <w:abstractNumId w:val="22"/>
  </w:num>
  <w:num w:numId="4" w16cid:durableId="1384983574">
    <w:abstractNumId w:val="26"/>
  </w:num>
  <w:num w:numId="5" w16cid:durableId="1029838094">
    <w:abstractNumId w:val="1"/>
  </w:num>
  <w:num w:numId="6" w16cid:durableId="172569454">
    <w:abstractNumId w:val="5"/>
  </w:num>
  <w:num w:numId="7" w16cid:durableId="1735080548">
    <w:abstractNumId w:val="0"/>
  </w:num>
  <w:num w:numId="8" w16cid:durableId="627131337">
    <w:abstractNumId w:val="17"/>
  </w:num>
  <w:num w:numId="9" w16cid:durableId="2086298792">
    <w:abstractNumId w:val="23"/>
  </w:num>
  <w:num w:numId="10" w16cid:durableId="1081488227">
    <w:abstractNumId w:val="13"/>
  </w:num>
  <w:num w:numId="11" w16cid:durableId="2006737081">
    <w:abstractNumId w:val="2"/>
  </w:num>
  <w:num w:numId="12" w16cid:durableId="1065294621">
    <w:abstractNumId w:val="29"/>
  </w:num>
  <w:num w:numId="13" w16cid:durableId="268784855">
    <w:abstractNumId w:val="27"/>
  </w:num>
  <w:num w:numId="14" w16cid:durableId="1120879387">
    <w:abstractNumId w:val="6"/>
  </w:num>
  <w:num w:numId="15" w16cid:durableId="1912033731">
    <w:abstractNumId w:val="9"/>
  </w:num>
  <w:num w:numId="16" w16cid:durableId="825828596">
    <w:abstractNumId w:val="10"/>
  </w:num>
  <w:num w:numId="17" w16cid:durableId="871767884">
    <w:abstractNumId w:val="18"/>
  </w:num>
  <w:num w:numId="18" w16cid:durableId="32115437">
    <w:abstractNumId w:val="20"/>
  </w:num>
  <w:num w:numId="19" w16cid:durableId="1362054303">
    <w:abstractNumId w:val="8"/>
  </w:num>
  <w:num w:numId="20" w16cid:durableId="644815632">
    <w:abstractNumId w:val="25"/>
  </w:num>
  <w:num w:numId="21" w16cid:durableId="325280963">
    <w:abstractNumId w:val="11"/>
  </w:num>
  <w:num w:numId="22" w16cid:durableId="908074333">
    <w:abstractNumId w:val="30"/>
  </w:num>
  <w:num w:numId="23" w16cid:durableId="684089021">
    <w:abstractNumId w:val="19"/>
  </w:num>
  <w:num w:numId="24" w16cid:durableId="1227687010">
    <w:abstractNumId w:val="15"/>
  </w:num>
  <w:num w:numId="25" w16cid:durableId="1136022979">
    <w:abstractNumId w:val="28"/>
  </w:num>
  <w:num w:numId="26" w16cid:durableId="1621719598">
    <w:abstractNumId w:val="4"/>
  </w:num>
  <w:num w:numId="27" w16cid:durableId="170219668">
    <w:abstractNumId w:val="12"/>
  </w:num>
  <w:num w:numId="28" w16cid:durableId="1753308285">
    <w:abstractNumId w:val="24"/>
  </w:num>
  <w:num w:numId="29" w16cid:durableId="207110578">
    <w:abstractNumId w:val="14"/>
  </w:num>
  <w:num w:numId="30" w16cid:durableId="1036201143">
    <w:abstractNumId w:val="7"/>
  </w:num>
  <w:num w:numId="31" w16cid:durableId="717823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F1"/>
    <w:rsid w:val="00021A24"/>
    <w:rsid w:val="00024749"/>
    <w:rsid w:val="00024F7C"/>
    <w:rsid w:val="00041B7E"/>
    <w:rsid w:val="0004414A"/>
    <w:rsid w:val="00046FE2"/>
    <w:rsid w:val="0005713A"/>
    <w:rsid w:val="000603E2"/>
    <w:rsid w:val="00070D06"/>
    <w:rsid w:val="00076F9A"/>
    <w:rsid w:val="00087631"/>
    <w:rsid w:val="00096DE7"/>
    <w:rsid w:val="000A0C1D"/>
    <w:rsid w:val="000A1E87"/>
    <w:rsid w:val="000B43CF"/>
    <w:rsid w:val="000C3BA1"/>
    <w:rsid w:val="000C5A09"/>
    <w:rsid w:val="000C7A2D"/>
    <w:rsid w:val="000D6BCA"/>
    <w:rsid w:val="000E3F5C"/>
    <w:rsid w:val="00113E6A"/>
    <w:rsid w:val="00141A4B"/>
    <w:rsid w:val="00145F31"/>
    <w:rsid w:val="0015099B"/>
    <w:rsid w:val="001527E0"/>
    <w:rsid w:val="001618C4"/>
    <w:rsid w:val="00176C8A"/>
    <w:rsid w:val="001864F2"/>
    <w:rsid w:val="001A4300"/>
    <w:rsid w:val="001E764A"/>
    <w:rsid w:val="00203D6B"/>
    <w:rsid w:val="00206511"/>
    <w:rsid w:val="002153F3"/>
    <w:rsid w:val="002374E0"/>
    <w:rsid w:val="002454E3"/>
    <w:rsid w:val="00246364"/>
    <w:rsid w:val="00246A47"/>
    <w:rsid w:val="00246B57"/>
    <w:rsid w:val="00262DBA"/>
    <w:rsid w:val="0026426F"/>
    <w:rsid w:val="00266D97"/>
    <w:rsid w:val="00266FA6"/>
    <w:rsid w:val="00267351"/>
    <w:rsid w:val="00275992"/>
    <w:rsid w:val="00296ACA"/>
    <w:rsid w:val="002B7F1E"/>
    <w:rsid w:val="002E79F3"/>
    <w:rsid w:val="00314536"/>
    <w:rsid w:val="00317CF0"/>
    <w:rsid w:val="0032735D"/>
    <w:rsid w:val="00327C7D"/>
    <w:rsid w:val="00335746"/>
    <w:rsid w:val="00337EF2"/>
    <w:rsid w:val="00346E9A"/>
    <w:rsid w:val="00384591"/>
    <w:rsid w:val="003958C5"/>
    <w:rsid w:val="003B565C"/>
    <w:rsid w:val="003C0113"/>
    <w:rsid w:val="003D2558"/>
    <w:rsid w:val="003D5513"/>
    <w:rsid w:val="00406F24"/>
    <w:rsid w:val="0041014A"/>
    <w:rsid w:val="004130F1"/>
    <w:rsid w:val="004152D5"/>
    <w:rsid w:val="00416B8E"/>
    <w:rsid w:val="004200D3"/>
    <w:rsid w:val="004237B3"/>
    <w:rsid w:val="00425828"/>
    <w:rsid w:val="004268F5"/>
    <w:rsid w:val="00432980"/>
    <w:rsid w:val="0044432F"/>
    <w:rsid w:val="004448D6"/>
    <w:rsid w:val="00450CA6"/>
    <w:rsid w:val="004524EF"/>
    <w:rsid w:val="004540E4"/>
    <w:rsid w:val="004549B4"/>
    <w:rsid w:val="00461ECB"/>
    <w:rsid w:val="004712F0"/>
    <w:rsid w:val="00472DB1"/>
    <w:rsid w:val="00476089"/>
    <w:rsid w:val="00494A27"/>
    <w:rsid w:val="004A4074"/>
    <w:rsid w:val="004A76F5"/>
    <w:rsid w:val="004C4897"/>
    <w:rsid w:val="004D503E"/>
    <w:rsid w:val="004E3778"/>
    <w:rsid w:val="004F62B3"/>
    <w:rsid w:val="004F6BD6"/>
    <w:rsid w:val="005003F6"/>
    <w:rsid w:val="00501731"/>
    <w:rsid w:val="0050304F"/>
    <w:rsid w:val="0050505F"/>
    <w:rsid w:val="00507B97"/>
    <w:rsid w:val="0051027F"/>
    <w:rsid w:val="0051127D"/>
    <w:rsid w:val="00527719"/>
    <w:rsid w:val="00530FA9"/>
    <w:rsid w:val="00552F44"/>
    <w:rsid w:val="00556F7E"/>
    <w:rsid w:val="0055738B"/>
    <w:rsid w:val="0056385B"/>
    <w:rsid w:val="00566D1E"/>
    <w:rsid w:val="0057039E"/>
    <w:rsid w:val="00581C17"/>
    <w:rsid w:val="005845A1"/>
    <w:rsid w:val="005B586C"/>
    <w:rsid w:val="005B76EA"/>
    <w:rsid w:val="005C3A23"/>
    <w:rsid w:val="005E3EA7"/>
    <w:rsid w:val="005E7BEC"/>
    <w:rsid w:val="005F7189"/>
    <w:rsid w:val="0060201B"/>
    <w:rsid w:val="006255E1"/>
    <w:rsid w:val="00630634"/>
    <w:rsid w:val="006320FA"/>
    <w:rsid w:val="00634AB0"/>
    <w:rsid w:val="00692FEC"/>
    <w:rsid w:val="00695DCB"/>
    <w:rsid w:val="006A5670"/>
    <w:rsid w:val="006B0646"/>
    <w:rsid w:val="006C726C"/>
    <w:rsid w:val="006C7D41"/>
    <w:rsid w:val="006D0ABB"/>
    <w:rsid w:val="006E51CE"/>
    <w:rsid w:val="006E566B"/>
    <w:rsid w:val="006F2D7B"/>
    <w:rsid w:val="00703EAA"/>
    <w:rsid w:val="0072482C"/>
    <w:rsid w:val="007307E1"/>
    <w:rsid w:val="00737D3D"/>
    <w:rsid w:val="007418B6"/>
    <w:rsid w:val="00753A45"/>
    <w:rsid w:val="007574CE"/>
    <w:rsid w:val="00764B07"/>
    <w:rsid w:val="0077311F"/>
    <w:rsid w:val="00776282"/>
    <w:rsid w:val="00783A0E"/>
    <w:rsid w:val="007913BF"/>
    <w:rsid w:val="00793075"/>
    <w:rsid w:val="00794790"/>
    <w:rsid w:val="007A7A24"/>
    <w:rsid w:val="007B312E"/>
    <w:rsid w:val="007C0870"/>
    <w:rsid w:val="007C35CF"/>
    <w:rsid w:val="007E1598"/>
    <w:rsid w:val="007E3B64"/>
    <w:rsid w:val="007E5BEC"/>
    <w:rsid w:val="007E7E72"/>
    <w:rsid w:val="007F69C7"/>
    <w:rsid w:val="008333F8"/>
    <w:rsid w:val="00836EE8"/>
    <w:rsid w:val="0085262A"/>
    <w:rsid w:val="00864D37"/>
    <w:rsid w:val="00873222"/>
    <w:rsid w:val="00873290"/>
    <w:rsid w:val="008749C4"/>
    <w:rsid w:val="0088199B"/>
    <w:rsid w:val="00882FCD"/>
    <w:rsid w:val="00885B9C"/>
    <w:rsid w:val="008927DB"/>
    <w:rsid w:val="008A09AD"/>
    <w:rsid w:val="008A6AD8"/>
    <w:rsid w:val="008C5ED9"/>
    <w:rsid w:val="008E389E"/>
    <w:rsid w:val="00900EE5"/>
    <w:rsid w:val="00907617"/>
    <w:rsid w:val="0091116D"/>
    <w:rsid w:val="0091423A"/>
    <w:rsid w:val="0093351D"/>
    <w:rsid w:val="0095534F"/>
    <w:rsid w:val="009644BF"/>
    <w:rsid w:val="0096798E"/>
    <w:rsid w:val="00975A5D"/>
    <w:rsid w:val="00990A5F"/>
    <w:rsid w:val="009A7AAB"/>
    <w:rsid w:val="009B11FA"/>
    <w:rsid w:val="009C47DB"/>
    <w:rsid w:val="00A21384"/>
    <w:rsid w:val="00A47595"/>
    <w:rsid w:val="00A60E8E"/>
    <w:rsid w:val="00A73E82"/>
    <w:rsid w:val="00A75C94"/>
    <w:rsid w:val="00A7778E"/>
    <w:rsid w:val="00A94A2E"/>
    <w:rsid w:val="00AB2248"/>
    <w:rsid w:val="00AB2987"/>
    <w:rsid w:val="00AB3848"/>
    <w:rsid w:val="00AC0548"/>
    <w:rsid w:val="00AC1F15"/>
    <w:rsid w:val="00AC7955"/>
    <w:rsid w:val="00AD17D0"/>
    <w:rsid w:val="00AE677B"/>
    <w:rsid w:val="00B01DCF"/>
    <w:rsid w:val="00B03EB7"/>
    <w:rsid w:val="00B15B95"/>
    <w:rsid w:val="00B2122C"/>
    <w:rsid w:val="00B27D84"/>
    <w:rsid w:val="00B34421"/>
    <w:rsid w:val="00B37F63"/>
    <w:rsid w:val="00B41BE6"/>
    <w:rsid w:val="00B51E9C"/>
    <w:rsid w:val="00B52948"/>
    <w:rsid w:val="00B54907"/>
    <w:rsid w:val="00B653A2"/>
    <w:rsid w:val="00B71420"/>
    <w:rsid w:val="00B71D0D"/>
    <w:rsid w:val="00B746EA"/>
    <w:rsid w:val="00B857D5"/>
    <w:rsid w:val="00B85BEE"/>
    <w:rsid w:val="00B95E6F"/>
    <w:rsid w:val="00BC5A69"/>
    <w:rsid w:val="00BD0AD6"/>
    <w:rsid w:val="00BD11BC"/>
    <w:rsid w:val="00BD2248"/>
    <w:rsid w:val="00BD2F11"/>
    <w:rsid w:val="00BE5822"/>
    <w:rsid w:val="00BE6EE4"/>
    <w:rsid w:val="00BF5B3B"/>
    <w:rsid w:val="00C0229B"/>
    <w:rsid w:val="00C03D08"/>
    <w:rsid w:val="00C2084A"/>
    <w:rsid w:val="00C2595E"/>
    <w:rsid w:val="00C30212"/>
    <w:rsid w:val="00C35C46"/>
    <w:rsid w:val="00C56277"/>
    <w:rsid w:val="00C5682A"/>
    <w:rsid w:val="00C77D73"/>
    <w:rsid w:val="00C834C9"/>
    <w:rsid w:val="00C90D6E"/>
    <w:rsid w:val="00C91744"/>
    <w:rsid w:val="00C9234F"/>
    <w:rsid w:val="00C93164"/>
    <w:rsid w:val="00C96523"/>
    <w:rsid w:val="00CA0CBC"/>
    <w:rsid w:val="00CA0CD2"/>
    <w:rsid w:val="00CA0F74"/>
    <w:rsid w:val="00CA4263"/>
    <w:rsid w:val="00CA621E"/>
    <w:rsid w:val="00CB0623"/>
    <w:rsid w:val="00CB4008"/>
    <w:rsid w:val="00CE0156"/>
    <w:rsid w:val="00CE1007"/>
    <w:rsid w:val="00CF0B7F"/>
    <w:rsid w:val="00CF192F"/>
    <w:rsid w:val="00CF2522"/>
    <w:rsid w:val="00CF490F"/>
    <w:rsid w:val="00D12E6B"/>
    <w:rsid w:val="00D132B8"/>
    <w:rsid w:val="00D14202"/>
    <w:rsid w:val="00D174E5"/>
    <w:rsid w:val="00D43CB3"/>
    <w:rsid w:val="00D454EF"/>
    <w:rsid w:val="00D560DC"/>
    <w:rsid w:val="00D6413B"/>
    <w:rsid w:val="00D705A1"/>
    <w:rsid w:val="00D71995"/>
    <w:rsid w:val="00D949D6"/>
    <w:rsid w:val="00D97BFF"/>
    <w:rsid w:val="00DA48C2"/>
    <w:rsid w:val="00DB05F0"/>
    <w:rsid w:val="00DB2E68"/>
    <w:rsid w:val="00DC20FA"/>
    <w:rsid w:val="00DC3BAA"/>
    <w:rsid w:val="00DD0704"/>
    <w:rsid w:val="00DD356B"/>
    <w:rsid w:val="00E13D63"/>
    <w:rsid w:val="00E14CCB"/>
    <w:rsid w:val="00E22779"/>
    <w:rsid w:val="00E33D09"/>
    <w:rsid w:val="00E35119"/>
    <w:rsid w:val="00E60376"/>
    <w:rsid w:val="00E75C68"/>
    <w:rsid w:val="00E84C58"/>
    <w:rsid w:val="00E963C8"/>
    <w:rsid w:val="00EA01DF"/>
    <w:rsid w:val="00EC55EE"/>
    <w:rsid w:val="00ED2B68"/>
    <w:rsid w:val="00ED4E05"/>
    <w:rsid w:val="00ED7E0A"/>
    <w:rsid w:val="00EE475E"/>
    <w:rsid w:val="00F06918"/>
    <w:rsid w:val="00F13470"/>
    <w:rsid w:val="00F27759"/>
    <w:rsid w:val="00F316FF"/>
    <w:rsid w:val="00F41A50"/>
    <w:rsid w:val="00F41DFD"/>
    <w:rsid w:val="00F44DAC"/>
    <w:rsid w:val="00F57CA6"/>
    <w:rsid w:val="00F600A6"/>
    <w:rsid w:val="00F63C83"/>
    <w:rsid w:val="00F76B78"/>
    <w:rsid w:val="00FA408B"/>
    <w:rsid w:val="00FB49FA"/>
    <w:rsid w:val="00FC780E"/>
    <w:rsid w:val="00FD4FBA"/>
    <w:rsid w:val="00FE4C3F"/>
    <w:rsid w:val="00FE7249"/>
    <w:rsid w:val="00FE789D"/>
    <w:rsid w:val="00FF3C6B"/>
    <w:rsid w:val="25252FA2"/>
    <w:rsid w:val="32C9ADD2"/>
    <w:rsid w:val="5836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EBE26"/>
  <w15:chartTrackingRefBased/>
  <w15:docId w15:val="{F9B88551-0773-44E6-9E77-63BC30B8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2F"/>
  </w:style>
  <w:style w:type="paragraph" w:styleId="Heading1">
    <w:name w:val="heading 1"/>
    <w:basedOn w:val="Normal"/>
    <w:next w:val="Normal"/>
    <w:link w:val="Heading1Char"/>
    <w:uiPriority w:val="9"/>
    <w:qFormat/>
    <w:rsid w:val="004130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130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3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13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CCB"/>
  </w:style>
  <w:style w:type="paragraph" w:styleId="Footer">
    <w:name w:val="footer"/>
    <w:basedOn w:val="Normal"/>
    <w:link w:val="Foot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CCB"/>
  </w:style>
  <w:style w:type="paragraph" w:styleId="BalloonText">
    <w:name w:val="Balloon Text"/>
    <w:basedOn w:val="Normal"/>
    <w:link w:val="BalloonTextChar"/>
    <w:uiPriority w:val="99"/>
    <w:semiHidden/>
    <w:unhideWhenUsed/>
    <w:rsid w:val="00DA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7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7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4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89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789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CA621E"/>
    <w:pPr>
      <w:spacing w:after="0" w:line="240" w:lineRule="auto"/>
    </w:pPr>
    <w:rPr>
      <w:rFonts w:ascii="Arial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621E"/>
    <w:rPr>
      <w:rFonts w:ascii="Arial" w:hAnsi="Arial" w:cs="Consolas"/>
      <w:sz w:val="20"/>
      <w:szCs w:val="21"/>
    </w:rPr>
  </w:style>
  <w:style w:type="paragraph" w:customStyle="1" w:styleId="Default">
    <w:name w:val="Default"/>
    <w:rsid w:val="009111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E79F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75A5D"/>
    <w:rPr>
      <w:color w:val="954F72" w:themeColor="followedHyperlink"/>
      <w:u w:val="single"/>
    </w:rPr>
  </w:style>
  <w:style w:type="paragraph" w:customStyle="1" w:styleId="xxmsonormal">
    <w:name w:val="x_xmsonormal"/>
    <w:basedOn w:val="Normal"/>
    <w:rsid w:val="005E7BEC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xxxxmsonormal">
    <w:name w:val="x_x_x_x_x_msonormal"/>
    <w:basedOn w:val="Normal"/>
    <w:rsid w:val="00A7778E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6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3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0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5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5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harms.zoom.us/j/93293245406?pwd=dE1qeVVPc21jWFFJWDdHSEJvRGpIZz0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zoom.us/signu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consultations/proposal-for-the-use-of-patient-group-directions-by-pharmacy-technicians/proposal-for-the-use-of-patient-group-directions-by-pharmacy-technician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Morrison</dc:creator>
  <cp:keywords/>
  <dc:description/>
  <cp:lastModifiedBy>Alwyn Fortune</cp:lastModifiedBy>
  <cp:revision>3</cp:revision>
  <cp:lastPrinted>2022-11-21T14:51:00Z</cp:lastPrinted>
  <dcterms:created xsi:type="dcterms:W3CDTF">2023-10-04T08:12:00Z</dcterms:created>
  <dcterms:modified xsi:type="dcterms:W3CDTF">2023-10-04T08:43:00Z</dcterms:modified>
</cp:coreProperties>
</file>