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B4AD" w14:textId="4587726C" w:rsidR="004130F1" w:rsidRPr="004130F1" w:rsidRDefault="005B586C" w:rsidP="004130F1">
      <w:pPr>
        <w:pStyle w:val="Heading1"/>
        <w:rPr>
          <w:b/>
          <w:bCs/>
        </w:rPr>
      </w:pPr>
      <w:r>
        <w:rPr>
          <w:b/>
          <w:bCs/>
        </w:rPr>
        <w:t xml:space="preserve">Community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</w:p>
    <w:p w14:paraId="0323961B" w14:textId="6035DFE4" w:rsidR="006255E1" w:rsidRDefault="009C5818" w:rsidP="005B58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19</w:t>
      </w:r>
      <w:r w:rsidRPr="009C581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</w:t>
      </w:r>
      <w:r w:rsidR="00EC49CA">
        <w:rPr>
          <w:b/>
          <w:bCs/>
          <w:sz w:val="28"/>
          <w:szCs w:val="28"/>
        </w:rPr>
        <w:t xml:space="preserve">2025 </w:t>
      </w:r>
      <w:r>
        <w:rPr>
          <w:b/>
          <w:bCs/>
          <w:sz w:val="28"/>
          <w:szCs w:val="28"/>
        </w:rPr>
        <w:t>(</w:t>
      </w:r>
      <w:r w:rsidR="004237B3">
        <w:rPr>
          <w:b/>
          <w:bCs/>
          <w:sz w:val="28"/>
          <w:szCs w:val="28"/>
        </w:rPr>
        <w:t>19.30 – 2</w:t>
      </w:r>
      <w:r w:rsidR="00900EE5">
        <w:rPr>
          <w:b/>
          <w:bCs/>
          <w:sz w:val="28"/>
          <w:szCs w:val="28"/>
        </w:rPr>
        <w:t>1</w:t>
      </w:r>
      <w:r w:rsidR="007307E1">
        <w:rPr>
          <w:b/>
          <w:bCs/>
          <w:sz w:val="28"/>
          <w:szCs w:val="28"/>
        </w:rPr>
        <w:t>.30</w:t>
      </w:r>
      <w:r>
        <w:rPr>
          <w:b/>
          <w:bCs/>
          <w:sz w:val="28"/>
          <w:szCs w:val="28"/>
        </w:rPr>
        <w:t>)</w:t>
      </w:r>
      <w:r w:rsidR="004237B3">
        <w:rPr>
          <w:b/>
          <w:bCs/>
          <w:sz w:val="28"/>
          <w:szCs w:val="28"/>
        </w:rPr>
        <w:t xml:space="preserve"> By</w:t>
      </w:r>
      <w:r w:rsidR="00EC49CA">
        <w:rPr>
          <w:b/>
          <w:bCs/>
          <w:sz w:val="28"/>
          <w:szCs w:val="28"/>
        </w:rPr>
        <w:t xml:space="preserve"> teams</w:t>
      </w:r>
    </w:p>
    <w:p w14:paraId="45879E28" w14:textId="77777777" w:rsidR="00EF169A" w:rsidRDefault="00EF169A" w:rsidP="00B51E9C">
      <w:pPr>
        <w:rPr>
          <w:sz w:val="24"/>
          <w:szCs w:val="24"/>
        </w:rPr>
      </w:pPr>
    </w:p>
    <w:p w14:paraId="1B070CCC" w14:textId="77777777" w:rsidR="009C5818" w:rsidRDefault="009C5818" w:rsidP="009C5818">
      <w:pPr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t>_______________________________________________________________________________</w:t>
      </w:r>
    </w:p>
    <w:p w14:paraId="00C799D7" w14:textId="77777777" w:rsidR="00351CA6" w:rsidRPr="00351CA6" w:rsidRDefault="00351CA6" w:rsidP="00351CA6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351CA6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Microsoft Teams </w:t>
      </w:r>
      <w:hyperlink r:id="rId7" w:history="1">
        <w:r w:rsidRPr="00351CA6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Need help?</w:t>
        </w:r>
      </w:hyperlink>
      <w:r w:rsidRPr="00351CA6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 </w:t>
      </w:r>
    </w:p>
    <w:p w14:paraId="04657053" w14:textId="77777777" w:rsidR="00351CA6" w:rsidRPr="00351CA6" w:rsidRDefault="00351CA6" w:rsidP="00351CA6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hyperlink r:id="rId8" w:tgtFrame="_blank" w:tooltip="Meeting join link" w:history="1">
        <w:r w:rsidRPr="00351CA6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Join the meeting now</w:t>
        </w:r>
      </w:hyperlink>
      <w:r w:rsidRPr="00351CA6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 </w:t>
      </w:r>
    </w:p>
    <w:p w14:paraId="4292E1DE" w14:textId="77777777" w:rsidR="00351CA6" w:rsidRPr="00351CA6" w:rsidRDefault="00351CA6" w:rsidP="00351CA6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351CA6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Meeting ID: 329 395 617 417 8 </w:t>
      </w:r>
    </w:p>
    <w:p w14:paraId="17EFCC16" w14:textId="77777777" w:rsidR="00351CA6" w:rsidRPr="00351CA6" w:rsidRDefault="00351CA6" w:rsidP="00351CA6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351CA6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Passcode: go6Q5gv7 </w:t>
      </w:r>
    </w:p>
    <w:p w14:paraId="2E6DEAFB" w14:textId="77777777" w:rsidR="00EC49CA" w:rsidRPr="002D1B7D" w:rsidRDefault="00EC49CA" w:rsidP="00B51E9C">
      <w:pPr>
        <w:rPr>
          <w:rFonts w:cstheme="minorHAnsi"/>
          <w:sz w:val="28"/>
          <w:szCs w:val="28"/>
        </w:rPr>
      </w:pPr>
    </w:p>
    <w:p w14:paraId="671EF214" w14:textId="5CFCEF4C" w:rsidR="004130F1" w:rsidRPr="004130F1" w:rsidRDefault="0004414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1: </w:t>
      </w:r>
      <w:r w:rsidR="0093351D">
        <w:rPr>
          <w:b/>
          <w:bCs/>
          <w:color w:val="000000" w:themeColor="text1"/>
        </w:rPr>
        <w:t>Welcome</w:t>
      </w:r>
      <w:r w:rsidR="000C5A09">
        <w:rPr>
          <w:b/>
          <w:bCs/>
          <w:color w:val="000000" w:themeColor="text1"/>
        </w:rPr>
        <w:t>, Ap</w:t>
      </w:r>
      <w:r w:rsidR="007307E1">
        <w:rPr>
          <w:b/>
          <w:bCs/>
          <w:color w:val="000000" w:themeColor="text1"/>
        </w:rPr>
        <w:t xml:space="preserve">ologies and </w:t>
      </w:r>
      <w:r w:rsidR="0085262A">
        <w:rPr>
          <w:b/>
          <w:bCs/>
          <w:color w:val="000000" w:themeColor="text1"/>
        </w:rPr>
        <w:t>welcome L</w:t>
      </w:r>
      <w:r w:rsidR="00EC49CA">
        <w:rPr>
          <w:b/>
          <w:bCs/>
          <w:color w:val="000000" w:themeColor="text1"/>
        </w:rPr>
        <w:t>e</w:t>
      </w:r>
      <w:r w:rsidR="0085262A">
        <w:rPr>
          <w:b/>
          <w:bCs/>
          <w:color w:val="000000" w:themeColor="text1"/>
        </w:rPr>
        <w:t>d</w:t>
      </w:r>
      <w:r w:rsidR="001E764A">
        <w:rPr>
          <w:b/>
          <w:bCs/>
          <w:color w:val="000000" w:themeColor="text1"/>
        </w:rPr>
        <w:t xml:space="preserve"> by Janice</w:t>
      </w:r>
      <w:r w:rsidR="006A5670">
        <w:rPr>
          <w:b/>
          <w:bCs/>
          <w:color w:val="000000" w:themeColor="text1"/>
        </w:rPr>
        <w:t xml:space="preserve"> </w:t>
      </w:r>
      <w:r w:rsidR="00CF722A">
        <w:rPr>
          <w:b/>
          <w:bCs/>
          <w:color w:val="000000" w:themeColor="text1"/>
        </w:rPr>
        <w:t>Perkins (5 min)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A0C1D" w:rsidRPr="007C0870" w14:paraId="71C4A3D0" w14:textId="77777777" w:rsidTr="008805EB">
        <w:trPr>
          <w:trHeight w:val="638"/>
        </w:trPr>
        <w:tc>
          <w:tcPr>
            <w:tcW w:w="1271" w:type="dxa"/>
          </w:tcPr>
          <w:p w14:paraId="57C66510" w14:textId="08194E1E" w:rsidR="000A0C1D" w:rsidRPr="004237B3" w:rsidRDefault="00372DFA" w:rsidP="008805E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7D78FE8A" w14:textId="77777777" w:rsidR="00F87BA1" w:rsidRPr="00F87BA1" w:rsidRDefault="00F87BA1" w:rsidP="00F87BA1">
            <w:r w:rsidRPr="00F87BA1">
              <w:t xml:space="preserve">To welcome and note apologies. </w:t>
            </w:r>
          </w:p>
          <w:p w14:paraId="711FF345" w14:textId="4CFDDBC7" w:rsidR="00995860" w:rsidRPr="007C0870" w:rsidRDefault="00995860" w:rsidP="009C5818"/>
        </w:tc>
      </w:tr>
      <w:tr w:rsidR="000A0C1D" w:rsidRPr="000C7A2D" w14:paraId="3BE1B3B7" w14:textId="77777777" w:rsidTr="00995860">
        <w:trPr>
          <w:trHeight w:val="381"/>
        </w:trPr>
        <w:tc>
          <w:tcPr>
            <w:tcW w:w="1271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4E6BB3B7" w14:textId="4D44A625" w:rsidR="00E4635A" w:rsidRPr="00E4635A" w:rsidRDefault="006F792C" w:rsidP="008805EB">
            <w:pPr>
              <w:rPr>
                <w:b/>
                <w:bCs/>
              </w:rPr>
            </w:pPr>
            <w:r w:rsidRPr="00C227D6">
              <w:rPr>
                <w:b/>
                <w:bCs/>
                <w:color w:val="000000" w:themeColor="text1"/>
              </w:rPr>
              <w:t>CPEAG</w:t>
            </w:r>
            <w:r w:rsidRPr="006F792C">
              <w:rPr>
                <w:b/>
                <w:bCs/>
                <w:color w:val="FF0000"/>
              </w:rPr>
              <w:t xml:space="preserve"> </w:t>
            </w:r>
            <w:r w:rsidR="00E4635A" w:rsidRPr="00E4635A">
              <w:rPr>
                <w:b/>
                <w:bCs/>
              </w:rPr>
              <w:t>Attendees</w:t>
            </w:r>
            <w:r>
              <w:rPr>
                <w:b/>
                <w:bCs/>
              </w:rPr>
              <w:t>:</w:t>
            </w:r>
          </w:p>
          <w:p w14:paraId="4BE81E24" w14:textId="5D9F96DE" w:rsidR="000A0C1D" w:rsidRDefault="000C5BF6" w:rsidP="008805EB">
            <w:r>
              <w:t>Janice Perkins</w:t>
            </w:r>
          </w:p>
          <w:p w14:paraId="7F1B71E5" w14:textId="596A49D7" w:rsidR="000C5BF6" w:rsidRDefault="000C5BF6" w:rsidP="008805EB">
            <w:r>
              <w:t>Waqas A</w:t>
            </w:r>
            <w:r w:rsidR="00E4635A">
              <w:t>h</w:t>
            </w:r>
            <w:r>
              <w:t>mad</w:t>
            </w:r>
          </w:p>
          <w:p w14:paraId="5B129BB4" w14:textId="624D23B5" w:rsidR="000C5BF6" w:rsidRDefault="000C5BF6" w:rsidP="008805EB">
            <w:r>
              <w:t>Paul Jenks</w:t>
            </w:r>
          </w:p>
          <w:p w14:paraId="2D15FC5F" w14:textId="06588A7F" w:rsidR="000C5BF6" w:rsidRDefault="000C5BF6" w:rsidP="008805EB">
            <w:r>
              <w:t>Patricia Ojo</w:t>
            </w:r>
          </w:p>
          <w:p w14:paraId="32D24697" w14:textId="51485A97" w:rsidR="000C5BF6" w:rsidRDefault="000C5BF6" w:rsidP="008805EB">
            <w:r>
              <w:t>Sarah Passmore</w:t>
            </w:r>
          </w:p>
          <w:p w14:paraId="217F0F1A" w14:textId="6A2E3BD4" w:rsidR="000C5BF6" w:rsidRDefault="000C5BF6" w:rsidP="008805EB">
            <w:r>
              <w:t>Gary Evans</w:t>
            </w:r>
          </w:p>
          <w:p w14:paraId="40238567" w14:textId="1ECDD4D2" w:rsidR="000C5BF6" w:rsidRDefault="000C5BF6" w:rsidP="008805EB">
            <w:r>
              <w:t>Fiona</w:t>
            </w:r>
            <w:r w:rsidR="00E4635A">
              <w:t xml:space="preserve"> McElrea</w:t>
            </w:r>
          </w:p>
          <w:p w14:paraId="2E63013B" w14:textId="4002D922" w:rsidR="000C5BF6" w:rsidRDefault="00321603" w:rsidP="008805EB">
            <w:r>
              <w:t>Shilpa Shah</w:t>
            </w:r>
          </w:p>
          <w:p w14:paraId="32E798BD" w14:textId="00644D03" w:rsidR="00855A2F" w:rsidRPr="00C227D6" w:rsidRDefault="00855A2F" w:rsidP="008805EB">
            <w:pPr>
              <w:rPr>
                <w:color w:val="000000" w:themeColor="text1"/>
              </w:rPr>
            </w:pPr>
            <w:r w:rsidRPr="00C227D6">
              <w:rPr>
                <w:color w:val="000000" w:themeColor="text1"/>
              </w:rPr>
              <w:t>Apologies: Jonathan Smith</w:t>
            </w:r>
            <w:r w:rsidR="006F792C" w:rsidRPr="00C227D6">
              <w:rPr>
                <w:color w:val="000000" w:themeColor="text1"/>
              </w:rPr>
              <w:t xml:space="preserve"> </w:t>
            </w:r>
          </w:p>
          <w:p w14:paraId="5B5012FE" w14:textId="77777777" w:rsidR="00321603" w:rsidRDefault="00321603" w:rsidP="008805EB"/>
          <w:p w14:paraId="4471ABD4" w14:textId="5DA6A963" w:rsidR="006F792C" w:rsidRPr="00C227D6" w:rsidRDefault="006F792C" w:rsidP="008805EB">
            <w:pPr>
              <w:rPr>
                <w:color w:val="000000" w:themeColor="text1"/>
              </w:rPr>
            </w:pPr>
            <w:r w:rsidRPr="00C227D6">
              <w:rPr>
                <w:color w:val="000000" w:themeColor="text1"/>
              </w:rPr>
              <w:t>RPS Attendees:</w:t>
            </w:r>
          </w:p>
          <w:p w14:paraId="2F73ADA5" w14:textId="04E79CA9" w:rsidR="000C5BF6" w:rsidRDefault="000C5BF6" w:rsidP="008805EB">
            <w:r>
              <w:t>Alwyn</w:t>
            </w:r>
            <w:r w:rsidR="00321603">
              <w:t xml:space="preserve"> Fortune</w:t>
            </w:r>
          </w:p>
          <w:p w14:paraId="31AFFF96" w14:textId="2D6B8236" w:rsidR="000C5BF6" w:rsidRDefault="000C5BF6" w:rsidP="008805EB">
            <w:r>
              <w:t>Neal Pa</w:t>
            </w:r>
            <w:r w:rsidR="00321603">
              <w:t>tel</w:t>
            </w:r>
          </w:p>
          <w:p w14:paraId="530AD56C" w14:textId="1811E074" w:rsidR="000C5BF6" w:rsidRDefault="000C5BF6" w:rsidP="008805EB">
            <w:r>
              <w:t>Sara Visram</w:t>
            </w:r>
          </w:p>
          <w:p w14:paraId="11C9715D" w14:textId="77777777" w:rsidR="000C5BF6" w:rsidRDefault="000C5BF6" w:rsidP="008805EB">
            <w:r>
              <w:t>Kina Vyas</w:t>
            </w:r>
          </w:p>
          <w:p w14:paraId="37325318" w14:textId="77777777" w:rsidR="00321603" w:rsidRDefault="00321603" w:rsidP="008805EB">
            <w:r>
              <w:t>Wing tang</w:t>
            </w:r>
          </w:p>
          <w:p w14:paraId="20E63DE8" w14:textId="381D3FA4" w:rsidR="00321603" w:rsidRPr="000C7A2D" w:rsidRDefault="00321603" w:rsidP="008805EB">
            <w:r>
              <w:t>Heidi Wright</w:t>
            </w:r>
          </w:p>
        </w:tc>
      </w:tr>
    </w:tbl>
    <w:p w14:paraId="1F753B5D" w14:textId="4FB03F27" w:rsidR="00CA621E" w:rsidRDefault="00CA621E" w:rsidP="00CA621E">
      <w:pPr>
        <w:pStyle w:val="PlainText"/>
      </w:pPr>
    </w:p>
    <w:p w14:paraId="6841180E" w14:textId="77777777" w:rsidR="00F57DAE" w:rsidRDefault="00F57DAE" w:rsidP="00CA621E">
      <w:pPr>
        <w:pStyle w:val="PlainText"/>
      </w:pPr>
    </w:p>
    <w:p w14:paraId="7C4C5603" w14:textId="77777777" w:rsidR="00F57DAE" w:rsidRDefault="00F57DAE" w:rsidP="00CA621E">
      <w:pPr>
        <w:pStyle w:val="PlainText"/>
      </w:pPr>
    </w:p>
    <w:p w14:paraId="715A8520" w14:textId="69BB8D1D" w:rsidR="00695DCB" w:rsidRDefault="00695DCB" w:rsidP="00F50D96">
      <w:pPr>
        <w:pStyle w:val="Heading2"/>
        <w:pBdr>
          <w:bottom w:val="single" w:sz="4" w:space="1" w:color="auto"/>
        </w:pBdr>
        <w:shd w:val="clear" w:color="auto" w:fill="DEEAF6" w:themeFill="accent5" w:themeFillTint="33"/>
        <w:tabs>
          <w:tab w:val="left" w:pos="543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0D6BCA">
        <w:rPr>
          <w:b/>
          <w:bCs/>
          <w:color w:val="000000" w:themeColor="text1"/>
        </w:rPr>
        <w:t>:</w:t>
      </w:r>
      <w:r w:rsidR="00655078">
        <w:rPr>
          <w:b/>
          <w:bCs/>
          <w:color w:val="000000" w:themeColor="text1"/>
        </w:rPr>
        <w:t xml:space="preserve"> </w:t>
      </w:r>
      <w:r w:rsidR="00CF722A">
        <w:rPr>
          <w:b/>
          <w:bCs/>
          <w:color w:val="000000" w:themeColor="text1"/>
        </w:rPr>
        <w:t>RPS Update on Professional Liability Insurance for members, Led by Neal Patel (1</w:t>
      </w:r>
      <w:r w:rsidR="00351CA6">
        <w:rPr>
          <w:b/>
          <w:bCs/>
          <w:color w:val="000000" w:themeColor="text1"/>
        </w:rPr>
        <w:t>0</w:t>
      </w:r>
      <w:r w:rsidR="00CF722A">
        <w:rPr>
          <w:b/>
          <w:bCs/>
          <w:color w:val="000000" w:themeColor="text1"/>
        </w:rPr>
        <w:t xml:space="preserve"> min)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267"/>
        <w:gridCol w:w="7862"/>
      </w:tblGrid>
      <w:tr w:rsidR="00995860" w:rsidRPr="007C0870" w14:paraId="3C141D40" w14:textId="77777777" w:rsidTr="00995860">
        <w:trPr>
          <w:trHeight w:val="638"/>
        </w:trPr>
        <w:tc>
          <w:tcPr>
            <w:tcW w:w="1267" w:type="dxa"/>
          </w:tcPr>
          <w:p w14:paraId="38B207C6" w14:textId="14E9DA0C" w:rsidR="00995860" w:rsidRPr="004237B3" w:rsidRDefault="00995860" w:rsidP="00C76D5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862" w:type="dxa"/>
          </w:tcPr>
          <w:p w14:paraId="2889732C" w14:textId="429F251E" w:rsidR="00995860" w:rsidRPr="00CF722A" w:rsidRDefault="00CF722A" w:rsidP="00CF72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provide an update on the Professional Liability Insurance</w:t>
            </w:r>
            <w:r w:rsidR="00E4635A">
              <w:rPr>
                <w:rFonts w:ascii="Calibri" w:hAnsi="Calibri" w:cs="Calibri"/>
              </w:rPr>
              <w:t xml:space="preserve"> (PLI)</w:t>
            </w:r>
            <w:r>
              <w:rPr>
                <w:rFonts w:ascii="Calibri" w:hAnsi="Calibri" w:cs="Calibri"/>
              </w:rPr>
              <w:t xml:space="preserve"> offering for RPS members</w:t>
            </w:r>
          </w:p>
        </w:tc>
      </w:tr>
      <w:tr w:rsidR="00995860" w:rsidRPr="007C0870" w14:paraId="2193CDEF" w14:textId="77777777" w:rsidTr="00995860">
        <w:trPr>
          <w:trHeight w:val="638"/>
        </w:trPr>
        <w:tc>
          <w:tcPr>
            <w:tcW w:w="1267" w:type="dxa"/>
          </w:tcPr>
          <w:p w14:paraId="6F042E4C" w14:textId="73ED0C55" w:rsidR="00995860" w:rsidRPr="004237B3" w:rsidRDefault="00995860" w:rsidP="00C76D5B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7862" w:type="dxa"/>
          </w:tcPr>
          <w:p w14:paraId="0E7109DB" w14:textId="774CDABC" w:rsidR="00995860" w:rsidRPr="00854AC4" w:rsidRDefault="00CF722A" w:rsidP="00372DFA">
            <w:r>
              <w:t xml:space="preserve">To update CPEAG on this new benefit available to RPS members </w:t>
            </w:r>
          </w:p>
        </w:tc>
      </w:tr>
      <w:tr w:rsidR="00995860" w:rsidRPr="000C7A2D" w14:paraId="4B2CE51A" w14:textId="77777777" w:rsidTr="00995860">
        <w:trPr>
          <w:trHeight w:val="568"/>
        </w:trPr>
        <w:tc>
          <w:tcPr>
            <w:tcW w:w="1267" w:type="dxa"/>
          </w:tcPr>
          <w:p w14:paraId="6AB2F7EA" w14:textId="77777777" w:rsidR="00995860" w:rsidRPr="004237B3" w:rsidRDefault="00995860" w:rsidP="00C76D5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lastRenderedPageBreak/>
              <w:t>Outcomes</w:t>
            </w:r>
          </w:p>
        </w:tc>
        <w:tc>
          <w:tcPr>
            <w:tcW w:w="7862" w:type="dxa"/>
          </w:tcPr>
          <w:p w14:paraId="30809821" w14:textId="68F682BC" w:rsidR="00995860" w:rsidRDefault="00E4635A" w:rsidP="00C76D5B">
            <w:r>
              <w:t>An u</w:t>
            </w:r>
            <w:r w:rsidR="000C5BF6">
              <w:t xml:space="preserve">pdate </w:t>
            </w:r>
            <w:r>
              <w:t xml:space="preserve">was </w:t>
            </w:r>
            <w:r w:rsidR="000C5BF6">
              <w:t>provided by Neal Patel</w:t>
            </w:r>
          </w:p>
          <w:p w14:paraId="58E39D49" w14:textId="77777777" w:rsidR="000C5BF6" w:rsidRDefault="000C5BF6" w:rsidP="00E4635A">
            <w:pPr>
              <w:pStyle w:val="ListParagraph"/>
              <w:numPr>
                <w:ilvl w:val="0"/>
                <w:numId w:val="27"/>
              </w:numPr>
            </w:pPr>
            <w:r>
              <w:t>Background to the insurance and why RPS is offering this as a benefit to members only</w:t>
            </w:r>
          </w:p>
          <w:p w14:paraId="00B71672" w14:textId="0C3D1DF5" w:rsidR="000C5BF6" w:rsidRDefault="00E4635A" w:rsidP="00E4635A">
            <w:pPr>
              <w:pStyle w:val="ListParagraph"/>
              <w:numPr>
                <w:ilvl w:val="0"/>
                <w:numId w:val="27"/>
              </w:numPr>
            </w:pPr>
            <w:r>
              <w:t>F</w:t>
            </w:r>
            <w:r w:rsidR="000C5BF6">
              <w:t>ollowed</w:t>
            </w:r>
            <w:r>
              <w:t xml:space="preserve"> research with members via</w:t>
            </w:r>
            <w:r w:rsidR="000C5BF6">
              <w:t xml:space="preserve"> a survey w</w:t>
            </w:r>
            <w:r>
              <w:t>ith</w:t>
            </w:r>
            <w:r w:rsidR="000C5BF6">
              <w:t xml:space="preserve"> members indicat</w:t>
            </w:r>
            <w:r>
              <w:t>ing</w:t>
            </w:r>
            <w:r w:rsidR="000C5BF6">
              <w:t xml:space="preserve"> the</w:t>
            </w:r>
            <w:r>
              <w:t>ir</w:t>
            </w:r>
            <w:r w:rsidR="000C5BF6">
              <w:t xml:space="preserve"> desire for</w:t>
            </w:r>
            <w:r>
              <w:t xml:space="preserve"> an alternative</w:t>
            </w:r>
            <w:r w:rsidR="000C5BF6">
              <w:t xml:space="preserve"> insurance</w:t>
            </w:r>
            <w:r>
              <w:t xml:space="preserve"> provider</w:t>
            </w:r>
          </w:p>
          <w:p w14:paraId="3681DFC3" w14:textId="79BA9D60" w:rsidR="000C5BF6" w:rsidRDefault="00E4635A" w:rsidP="00E4635A">
            <w:pPr>
              <w:pStyle w:val="ListParagraph"/>
              <w:numPr>
                <w:ilvl w:val="0"/>
                <w:numId w:val="27"/>
              </w:numPr>
            </w:pPr>
            <w:r>
              <w:t>PLI</w:t>
            </w:r>
            <w:r w:rsidR="000C5BF6">
              <w:t xml:space="preserve"> covers everyone irrelevant of sector or role</w:t>
            </w:r>
            <w:r>
              <w:t>/stage</w:t>
            </w:r>
            <w:r w:rsidR="000C5BF6">
              <w:t xml:space="preserve"> in practice</w:t>
            </w:r>
            <w:r>
              <w:t>, covers all regulated activities including prescribing and specialist roles (e.g. QP)</w:t>
            </w:r>
          </w:p>
          <w:p w14:paraId="29FCE137" w14:textId="3FDA5B51" w:rsidR="000C5BF6" w:rsidRDefault="000C5BF6" w:rsidP="00E4635A">
            <w:pPr>
              <w:pStyle w:val="ListParagraph"/>
              <w:numPr>
                <w:ilvl w:val="0"/>
                <w:numId w:val="27"/>
              </w:numPr>
            </w:pPr>
            <w:r>
              <w:t>One</w:t>
            </w:r>
            <w:r w:rsidR="00E4635A">
              <w:t xml:space="preserve"> fixed</w:t>
            </w:r>
            <w:r>
              <w:t xml:space="preserve"> price for employed pharmacists and one </w:t>
            </w:r>
            <w:r w:rsidR="00E4635A">
              <w:t xml:space="preserve">fixed </w:t>
            </w:r>
            <w:r>
              <w:t>price for self-employed pharmacists</w:t>
            </w:r>
          </w:p>
          <w:p w14:paraId="2A6BD0D5" w14:textId="77777777" w:rsidR="000C5BF6" w:rsidRDefault="000C5BF6" w:rsidP="00E4635A">
            <w:pPr>
              <w:pStyle w:val="ListParagraph"/>
              <w:numPr>
                <w:ilvl w:val="0"/>
                <w:numId w:val="27"/>
              </w:numPr>
            </w:pPr>
            <w:r>
              <w:t>No-profit taken by RPS</w:t>
            </w:r>
          </w:p>
          <w:p w14:paraId="3B68892F" w14:textId="62BCA85A" w:rsidR="00B637F0" w:rsidRDefault="000C5BF6" w:rsidP="00C76D5B">
            <w:pPr>
              <w:pStyle w:val="ListParagraph"/>
              <w:numPr>
                <w:ilvl w:val="0"/>
                <w:numId w:val="27"/>
              </w:numPr>
            </w:pPr>
            <w:r>
              <w:t>Opt-out option available</w:t>
            </w:r>
          </w:p>
          <w:p w14:paraId="3E59CA3A" w14:textId="15AFD948" w:rsidR="00E4635A" w:rsidRDefault="00E4635A" w:rsidP="00C76D5B">
            <w:pPr>
              <w:pStyle w:val="ListParagraph"/>
              <w:numPr>
                <w:ilvl w:val="0"/>
                <w:numId w:val="27"/>
              </w:numPr>
            </w:pPr>
            <w:r>
              <w:t>Members can access FAQs through the RPS website and specific insurance queries are picked up directly by the insurance providers, AON</w:t>
            </w:r>
          </w:p>
          <w:p w14:paraId="0689B24F" w14:textId="77777777" w:rsidR="00E4635A" w:rsidRDefault="00E4635A" w:rsidP="00E4635A">
            <w:pPr>
              <w:pStyle w:val="ListParagraph"/>
            </w:pPr>
          </w:p>
          <w:p w14:paraId="6EDDB9C6" w14:textId="31A43576" w:rsidR="00B637F0" w:rsidRPr="000C7A2D" w:rsidRDefault="00E4635A" w:rsidP="00C76D5B">
            <w:r>
              <w:t xml:space="preserve">The </w:t>
            </w:r>
            <w:r w:rsidR="00B637F0">
              <w:t>Group welcomed the presentation and felt it was a positive addition from the RPS for members to consider</w:t>
            </w:r>
          </w:p>
        </w:tc>
      </w:tr>
    </w:tbl>
    <w:p w14:paraId="2F40DAE3" w14:textId="77777777" w:rsidR="00CA621E" w:rsidRDefault="00CA621E" w:rsidP="004130F1">
      <w:pPr>
        <w:spacing w:after="0"/>
      </w:pPr>
    </w:p>
    <w:p w14:paraId="6F100AB2" w14:textId="2DF62236" w:rsidR="0072482C" w:rsidRPr="00DA2A2E" w:rsidRDefault="00695DCB" w:rsidP="00995860">
      <w:pPr>
        <w:keepNext/>
        <w:keepLines/>
        <w:pBdr>
          <w:bottom w:val="single" w:sz="4" w:space="0" w:color="auto"/>
        </w:pBdr>
        <w:shd w:val="clear" w:color="auto" w:fill="DEEAF6" w:themeFill="accent5" w:themeFillTint="33"/>
        <w:spacing w:before="40" w:after="0"/>
        <w:outlineLvl w:val="1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  <w:r w:rsidRPr="00995860">
        <w:rPr>
          <w:rFonts w:eastAsiaTheme="majorEastAsia" w:cstheme="minorHAnsi"/>
          <w:b/>
          <w:bCs/>
          <w:color w:val="000000" w:themeColor="text1"/>
          <w:sz w:val="24"/>
          <w:szCs w:val="24"/>
        </w:rPr>
        <w:t>3</w:t>
      </w:r>
      <w:r w:rsidR="002E79F3" w:rsidRPr="00DA2A2E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</w:rPr>
        <w:t xml:space="preserve">: </w:t>
      </w:r>
      <w:r w:rsidR="00CF722A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</w:rPr>
        <w:t>Independent prescribing, Update from the Education and Professional Development team (EPD), Led by Kina Vyas and Sara Visram (</w:t>
      </w:r>
      <w:r w:rsidR="00351CA6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</w:rPr>
        <w:t>3</w:t>
      </w:r>
      <w:r w:rsidR="00CF722A">
        <w:rPr>
          <w:rFonts w:asciiTheme="majorHAnsi" w:eastAsiaTheme="majorEastAsia" w:hAnsiTheme="majorHAnsi" w:cstheme="majorHAnsi"/>
          <w:b/>
          <w:bCs/>
          <w:color w:val="000000" w:themeColor="text1"/>
          <w:sz w:val="26"/>
          <w:szCs w:val="26"/>
        </w:rPr>
        <w:t>0 min)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2482C" w14:paraId="3258CCBD" w14:textId="77777777" w:rsidTr="00B37E84">
        <w:trPr>
          <w:trHeight w:val="608"/>
        </w:trPr>
        <w:tc>
          <w:tcPr>
            <w:tcW w:w="1271" w:type="dxa"/>
          </w:tcPr>
          <w:p w14:paraId="55774161" w14:textId="45D536FF" w:rsidR="0072482C" w:rsidRPr="00C90D6E" w:rsidRDefault="00852BE8" w:rsidP="00B37E84">
            <w:pPr>
              <w:rPr>
                <w:b/>
                <w:bCs/>
              </w:rPr>
            </w:pPr>
            <w:bookmarkStart w:id="0" w:name="_Hlk120111466"/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3211C043" w14:textId="48879986" w:rsidR="00CF722A" w:rsidRPr="00CF722A" w:rsidRDefault="00CF722A" w:rsidP="00CF722A">
            <w:pPr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CF722A">
              <w:rPr>
                <w:rFonts w:cstheme="minorHAnsi"/>
              </w:rPr>
              <w:t xml:space="preserve">verview of what </w:t>
            </w:r>
            <w:r w:rsidR="00A34855" w:rsidRPr="00C227D6">
              <w:rPr>
                <w:rFonts w:cstheme="minorHAnsi"/>
                <w:color w:val="000000" w:themeColor="text1"/>
              </w:rPr>
              <w:t>RPS</w:t>
            </w:r>
            <w:r w:rsidRPr="00CF722A">
              <w:rPr>
                <w:rFonts w:cstheme="minorHAnsi"/>
              </w:rPr>
              <w:t xml:space="preserve"> EPD team does </w:t>
            </w:r>
          </w:p>
          <w:p w14:paraId="6E09A9F2" w14:textId="124F22CD" w:rsidR="00CF722A" w:rsidRPr="00CF722A" w:rsidRDefault="00CF722A" w:rsidP="00CF722A">
            <w:pPr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CF722A">
              <w:rPr>
                <w:rFonts w:cstheme="minorHAnsi"/>
              </w:rPr>
              <w:t xml:space="preserve">lans </w:t>
            </w:r>
            <w:r>
              <w:rPr>
                <w:rFonts w:cstheme="minorHAnsi"/>
              </w:rPr>
              <w:t>for</w:t>
            </w:r>
            <w:r w:rsidRPr="00CF722A">
              <w:rPr>
                <w:rFonts w:cstheme="minorHAnsi"/>
              </w:rPr>
              <w:t xml:space="preserve"> the RPS Prescribing programme (launching June 2025)</w:t>
            </w:r>
          </w:p>
          <w:p w14:paraId="03C9A06E" w14:textId="57D1E1DB" w:rsidR="00CF722A" w:rsidRPr="00CF722A" w:rsidRDefault="00CF722A" w:rsidP="00CF722A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CF722A">
              <w:rPr>
                <w:rFonts w:cstheme="minorHAnsi"/>
              </w:rPr>
              <w:t>Followed by Q&amp;A/discussion</w:t>
            </w:r>
          </w:p>
          <w:p w14:paraId="691C44A5" w14:textId="77777777" w:rsidR="00CF722A" w:rsidRPr="00CF722A" w:rsidRDefault="00CF722A" w:rsidP="00CF722A">
            <w:pPr>
              <w:rPr>
                <w:rFonts w:cstheme="minorHAnsi"/>
              </w:rPr>
            </w:pPr>
          </w:p>
          <w:p w14:paraId="3D87FA3F" w14:textId="77777777" w:rsidR="00655078" w:rsidRDefault="00CF722A" w:rsidP="00351CA6">
            <w:pPr>
              <w:rPr>
                <w:rFonts w:cstheme="minorHAnsi"/>
              </w:rPr>
            </w:pPr>
            <w:r w:rsidRPr="00CF722A">
              <w:rPr>
                <w:rFonts w:cstheme="minorHAnsi"/>
              </w:rPr>
              <w:t xml:space="preserve">The group </w:t>
            </w:r>
            <w:r>
              <w:rPr>
                <w:rFonts w:cstheme="minorHAnsi"/>
              </w:rPr>
              <w:t xml:space="preserve">will have the opportunity to </w:t>
            </w:r>
            <w:r w:rsidRPr="00CF722A">
              <w:rPr>
                <w:rFonts w:cstheme="minorHAnsi"/>
              </w:rPr>
              <w:t xml:space="preserve">suggest </w:t>
            </w:r>
            <w:r>
              <w:rPr>
                <w:rFonts w:cstheme="minorHAnsi"/>
              </w:rPr>
              <w:t xml:space="preserve">ideas pertinent to practice that will benefit members </w:t>
            </w:r>
            <w:r w:rsidR="00351CA6">
              <w:rPr>
                <w:rFonts w:cstheme="minorHAnsi"/>
              </w:rPr>
              <w:t xml:space="preserve">wherever there may be in their prescribing journey. </w:t>
            </w:r>
          </w:p>
          <w:p w14:paraId="5C6BE5B9" w14:textId="682B8816" w:rsidR="00351CA6" w:rsidRPr="00D753D3" w:rsidRDefault="00351CA6" w:rsidP="00351CA6">
            <w:pPr>
              <w:rPr>
                <w:rFonts w:cstheme="minorHAnsi"/>
              </w:rPr>
            </w:pPr>
          </w:p>
        </w:tc>
      </w:tr>
      <w:tr w:rsidR="00852BE8" w14:paraId="7DC83DD6" w14:textId="77777777" w:rsidTr="00B37E84">
        <w:trPr>
          <w:trHeight w:val="608"/>
        </w:trPr>
        <w:tc>
          <w:tcPr>
            <w:tcW w:w="1271" w:type="dxa"/>
          </w:tcPr>
          <w:p w14:paraId="393E102A" w14:textId="692A07F0" w:rsidR="00852BE8" w:rsidRPr="00C90D6E" w:rsidRDefault="00852BE8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1CFF00A3" w14:textId="6FD1D766" w:rsidR="0020625F" w:rsidRPr="00AF3A39" w:rsidRDefault="00351CA6" w:rsidP="0020625F">
            <w:pPr>
              <w:rPr>
                <w:rFonts w:cstheme="minorHAnsi"/>
              </w:rPr>
            </w:pPr>
            <w:r>
              <w:rPr>
                <w:rFonts w:cstheme="minorHAnsi"/>
              </w:rPr>
              <w:t>To update CPEAG on forthcoming work from the RPS around Independent Prescribing, and to hear from the group of what areas they suggest could be areas of focus for the RPS.</w:t>
            </w:r>
          </w:p>
        </w:tc>
      </w:tr>
      <w:bookmarkEnd w:id="0"/>
      <w:tr w:rsidR="0072482C" w14:paraId="4F8AC75B" w14:textId="77777777" w:rsidTr="00AB2248">
        <w:trPr>
          <w:trHeight w:val="528"/>
        </w:trPr>
        <w:tc>
          <w:tcPr>
            <w:tcW w:w="1271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745" w:type="dxa"/>
          </w:tcPr>
          <w:p w14:paraId="671CEBCD" w14:textId="77777777" w:rsidR="0072482C" w:rsidRDefault="00AD568E" w:rsidP="00B37E84">
            <w:r>
              <w:t>Presentation provided by Kina Vyas and Sara Visram</w:t>
            </w:r>
          </w:p>
          <w:p w14:paraId="199ACFE5" w14:textId="5A85EAF5" w:rsidR="00AD568E" w:rsidRDefault="00AD568E" w:rsidP="00E4635A">
            <w:pPr>
              <w:pStyle w:val="ListParagraph"/>
              <w:numPr>
                <w:ilvl w:val="0"/>
                <w:numId w:val="28"/>
              </w:numPr>
            </w:pPr>
            <w:r>
              <w:t xml:space="preserve">Update provided around the work of the education and development team, around lifelong learning and </w:t>
            </w:r>
            <w:r w:rsidR="0023596A">
              <w:t>d</w:t>
            </w:r>
            <w:r>
              <w:t>evelopment programmes</w:t>
            </w:r>
          </w:p>
          <w:p w14:paraId="69B57D2D" w14:textId="0E0FEE12" w:rsidR="00AD568E" w:rsidRDefault="00AD568E" w:rsidP="00E4635A">
            <w:pPr>
              <w:pStyle w:val="ListParagraph"/>
              <w:numPr>
                <w:ilvl w:val="0"/>
                <w:numId w:val="28"/>
              </w:numPr>
            </w:pPr>
            <w:r>
              <w:t>Blended approach to learning for members</w:t>
            </w:r>
          </w:p>
          <w:p w14:paraId="16A866A6" w14:textId="4F25DB3C" w:rsidR="00AD568E" w:rsidRDefault="00E4635A" w:rsidP="00E4635A">
            <w:pPr>
              <w:pStyle w:val="ListParagraph"/>
              <w:numPr>
                <w:ilvl w:val="0"/>
                <w:numId w:val="28"/>
              </w:numPr>
            </w:pPr>
            <w:r>
              <w:t>Providing</w:t>
            </w:r>
            <w:r w:rsidR="00AD568E">
              <w:t xml:space="preserve"> </w:t>
            </w:r>
            <w:r>
              <w:t>members with the</w:t>
            </w:r>
            <w:r w:rsidR="00AD568E">
              <w:t xml:space="preserve"> confidence to achieve key milestones/develop practice</w:t>
            </w:r>
          </w:p>
          <w:p w14:paraId="671324A6" w14:textId="5D28FB22" w:rsidR="00AD568E" w:rsidRDefault="00E4635A" w:rsidP="00E4635A">
            <w:pPr>
              <w:pStyle w:val="ListParagraph"/>
              <w:numPr>
                <w:ilvl w:val="0"/>
                <w:numId w:val="28"/>
              </w:numPr>
            </w:pPr>
            <w:r>
              <w:t>An o</w:t>
            </w:r>
            <w:r w:rsidR="00AD568E">
              <w:t>verview of the RPS prescribing programme</w:t>
            </w:r>
            <w:r>
              <w:t xml:space="preserve"> was</w:t>
            </w:r>
            <w:r w:rsidR="00AD568E">
              <w:t xml:space="preserve"> provided </w:t>
            </w:r>
          </w:p>
          <w:p w14:paraId="0E45C6CF" w14:textId="5A3837D2" w:rsidR="00AD568E" w:rsidRDefault="00AD568E" w:rsidP="00E4635A">
            <w:pPr>
              <w:pStyle w:val="ListParagraph"/>
              <w:numPr>
                <w:ilvl w:val="0"/>
                <w:numId w:val="28"/>
              </w:numPr>
            </w:pPr>
            <w:r>
              <w:t>Resources available for members – e-learning,</w:t>
            </w:r>
            <w:r w:rsidR="00CD24CE">
              <w:t xml:space="preserve"> webinars,</w:t>
            </w:r>
            <w:r>
              <w:t xml:space="preserve"> support line etc</w:t>
            </w:r>
          </w:p>
          <w:p w14:paraId="63809AC3" w14:textId="77777777" w:rsidR="00B646CC" w:rsidRDefault="00B646CC" w:rsidP="00B37E84"/>
          <w:p w14:paraId="17D2F91B" w14:textId="2B26AC3E" w:rsidR="00AD568E" w:rsidRDefault="00E4635A" w:rsidP="00CD24CE">
            <w:r>
              <w:t xml:space="preserve">Feedback was requested from CPEAG around areas that would be beneficial in practice to </w:t>
            </w:r>
            <w:r w:rsidR="00357293">
              <w:t xml:space="preserve">members at all stages of their </w:t>
            </w:r>
            <w:r>
              <w:t>prescrib</w:t>
            </w:r>
            <w:r w:rsidR="00357293">
              <w:t>ing journey. Feedback can be summarised in the following</w:t>
            </w:r>
          </w:p>
          <w:p w14:paraId="5DEAF585" w14:textId="77777777" w:rsidR="00E4635A" w:rsidRDefault="00E4635A" w:rsidP="00CD24CE"/>
          <w:p w14:paraId="7BA4E464" w14:textId="77777777" w:rsidR="00357293" w:rsidRDefault="00B646CC" w:rsidP="00B646CC">
            <w:pPr>
              <w:pStyle w:val="ListParagraph"/>
              <w:numPr>
                <w:ilvl w:val="0"/>
                <w:numId w:val="26"/>
              </w:numPr>
            </w:pPr>
            <w:r>
              <w:t>DPP is critical, especially with cohorts of new prescribers</w:t>
            </w:r>
          </w:p>
          <w:p w14:paraId="7A77AF70" w14:textId="6A05CD61" w:rsidR="00B646CC" w:rsidRDefault="00B646CC" w:rsidP="00B646CC">
            <w:pPr>
              <w:pStyle w:val="ListParagraph"/>
              <w:numPr>
                <w:ilvl w:val="0"/>
                <w:numId w:val="26"/>
              </w:numPr>
            </w:pPr>
            <w:r>
              <w:t>Networking/support for trainees</w:t>
            </w:r>
          </w:p>
          <w:p w14:paraId="7EFD2819" w14:textId="3177B7C1" w:rsidR="00B646CC" w:rsidRDefault="00B646CC" w:rsidP="00B646CC">
            <w:pPr>
              <w:pStyle w:val="ListParagraph"/>
              <w:numPr>
                <w:ilvl w:val="0"/>
                <w:numId w:val="26"/>
              </w:numPr>
            </w:pPr>
            <w:r>
              <w:t>Expanding scope of practice, both depth of current scope and increasing breadth into other clinical areas</w:t>
            </w:r>
          </w:p>
          <w:p w14:paraId="7E315489" w14:textId="3827095C" w:rsidR="00B646CC" w:rsidRDefault="00B646CC" w:rsidP="00B646CC">
            <w:pPr>
              <w:pStyle w:val="ListParagraph"/>
              <w:numPr>
                <w:ilvl w:val="0"/>
                <w:numId w:val="26"/>
              </w:numPr>
            </w:pPr>
            <w:r>
              <w:t>Professional considerations</w:t>
            </w:r>
          </w:p>
          <w:p w14:paraId="6FB0F692" w14:textId="50027D5C" w:rsidR="00BB27F7" w:rsidRDefault="00BB27F7" w:rsidP="00B646CC">
            <w:pPr>
              <w:pStyle w:val="ListParagraph"/>
              <w:numPr>
                <w:ilvl w:val="0"/>
                <w:numId w:val="26"/>
              </w:numPr>
            </w:pPr>
            <w:r>
              <w:t>Clinical leadership – relationships with other practitioners</w:t>
            </w:r>
          </w:p>
          <w:p w14:paraId="0E3629F8" w14:textId="046AA44B" w:rsidR="00BB27F7" w:rsidRDefault="00BB27F7" w:rsidP="00357293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 xml:space="preserve">Ability to say no to patients if not clinically appropriate, dealing with expectations of patients </w:t>
            </w:r>
          </w:p>
          <w:p w14:paraId="0181997B" w14:textId="459A99E3" w:rsidR="00BB27F7" w:rsidRDefault="00BB27F7" w:rsidP="00B646CC">
            <w:pPr>
              <w:pStyle w:val="ListParagraph"/>
              <w:numPr>
                <w:ilvl w:val="0"/>
                <w:numId w:val="26"/>
              </w:numPr>
            </w:pPr>
            <w:r>
              <w:t>Communicating risk and benefit, so patient can make a shared decision with the prescriber</w:t>
            </w:r>
          </w:p>
          <w:p w14:paraId="60226C3D" w14:textId="4B50E92C" w:rsidR="00BB27F7" w:rsidRDefault="00BB27F7" w:rsidP="00B646CC">
            <w:pPr>
              <w:pStyle w:val="ListParagraph"/>
              <w:numPr>
                <w:ilvl w:val="0"/>
                <w:numId w:val="26"/>
              </w:numPr>
            </w:pPr>
            <w:r>
              <w:t xml:space="preserve">Resources </w:t>
            </w:r>
            <w:r w:rsidR="00422994">
              <w:t>all in one place to aid prescribers</w:t>
            </w:r>
            <w:r w:rsidR="009C3DE6" w:rsidRPr="00C227D6">
              <w:rPr>
                <w:color w:val="000000" w:themeColor="text1"/>
              </w:rPr>
              <w:t xml:space="preserve"> including signposting to non RPS tools and guidance to avoid duplication</w:t>
            </w:r>
          </w:p>
          <w:p w14:paraId="49D985BE" w14:textId="56207261" w:rsidR="00422994" w:rsidRDefault="00357293" w:rsidP="00B646CC">
            <w:pPr>
              <w:pStyle w:val="ListParagraph"/>
              <w:numPr>
                <w:ilvl w:val="0"/>
                <w:numId w:val="26"/>
              </w:numPr>
            </w:pPr>
            <w:r>
              <w:t>Building confidence and helping develop assurance for qualified Independent</w:t>
            </w:r>
            <w:r w:rsidR="00422994">
              <w:t xml:space="preserve"> </w:t>
            </w:r>
            <w:r>
              <w:t>P</w:t>
            </w:r>
            <w:r w:rsidR="00422994">
              <w:t>rescriber</w:t>
            </w:r>
            <w:r>
              <w:t>s</w:t>
            </w:r>
            <w:r w:rsidR="00422994">
              <w:t xml:space="preserve"> who ha</w:t>
            </w:r>
            <w:r>
              <w:t>ve</w:t>
            </w:r>
            <w:r w:rsidR="00422994">
              <w:t xml:space="preserve"> not prescribed for some time</w:t>
            </w:r>
            <w:r>
              <w:t>.</w:t>
            </w:r>
          </w:p>
          <w:p w14:paraId="5A10DFBA" w14:textId="77777777" w:rsidR="00B646CC" w:rsidRDefault="00B646CC" w:rsidP="00CD24CE"/>
          <w:p w14:paraId="5F1F519C" w14:textId="239F53DA" w:rsidR="00B646CC" w:rsidRPr="00CA621E" w:rsidRDefault="00B646CC" w:rsidP="00CD24CE"/>
        </w:tc>
      </w:tr>
    </w:tbl>
    <w:p w14:paraId="721B9708" w14:textId="77777777" w:rsidR="0072482C" w:rsidRDefault="0072482C" w:rsidP="004130F1">
      <w:pPr>
        <w:spacing w:after="0"/>
      </w:pPr>
    </w:p>
    <w:p w14:paraId="517CB24B" w14:textId="77777777" w:rsidR="00995860" w:rsidRPr="002D1B7D" w:rsidRDefault="00995860" w:rsidP="00995860">
      <w:pPr>
        <w:rPr>
          <w:rFonts w:cstheme="minorHAnsi"/>
          <w:sz w:val="28"/>
          <w:szCs w:val="28"/>
        </w:rPr>
      </w:pPr>
    </w:p>
    <w:p w14:paraId="37D0C595" w14:textId="4F801DE9" w:rsidR="00995860" w:rsidRPr="004130F1" w:rsidRDefault="00995860" w:rsidP="00995860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4: </w:t>
      </w:r>
      <w:r w:rsidR="00351CA6">
        <w:rPr>
          <w:b/>
          <w:bCs/>
          <w:color w:val="000000" w:themeColor="text1"/>
        </w:rPr>
        <w:t>Facilitated Sale of P medicines, Led by Wing Tang, Heidi Wright (45 mins)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995860" w:rsidRPr="007C0870" w14:paraId="6D65AC9B" w14:textId="77777777" w:rsidTr="00DB29FE">
        <w:trPr>
          <w:trHeight w:val="638"/>
        </w:trPr>
        <w:tc>
          <w:tcPr>
            <w:tcW w:w="1271" w:type="dxa"/>
          </w:tcPr>
          <w:p w14:paraId="5F38B2E7" w14:textId="77777777" w:rsidR="00995860" w:rsidRPr="004237B3" w:rsidRDefault="00995860" w:rsidP="00DB29FE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5C7F4D41" w14:textId="77777777" w:rsidR="00995860" w:rsidRDefault="00351CA6" w:rsidP="00995860">
            <w:r>
              <w:t>To further utilise the expertise of CPEAG as RPS looks to develop guidance around the facilitated sale of P medicines.</w:t>
            </w:r>
          </w:p>
          <w:p w14:paraId="5EA2E01E" w14:textId="77777777" w:rsidR="00351CA6" w:rsidRDefault="00351CA6" w:rsidP="00995860"/>
          <w:p w14:paraId="4342A447" w14:textId="2F91EF89" w:rsidR="00351CA6" w:rsidRDefault="00351CA6" w:rsidP="00995860">
            <w:r w:rsidRPr="00351CA6">
              <w:rPr>
                <w:b/>
                <w:bCs/>
              </w:rPr>
              <w:t>Draft</w:t>
            </w:r>
            <w:r>
              <w:t xml:space="preserve"> guidance and </w:t>
            </w:r>
            <w:r w:rsidR="00AB62B1">
              <w:t>high-level</w:t>
            </w:r>
            <w:r>
              <w:t xml:space="preserve"> policy statements have been shared in advance with the group </w:t>
            </w:r>
          </w:p>
          <w:p w14:paraId="4F2EF3AD" w14:textId="77777777" w:rsidR="00351CA6" w:rsidRDefault="00351CA6" w:rsidP="00995860"/>
          <w:p w14:paraId="5CD65FBF" w14:textId="7564F59D" w:rsidR="00351CA6" w:rsidRDefault="00351CA6" w:rsidP="00995860">
            <w:r>
              <w:t>The group are asked to review the guide prior to the meeting and discussions will focus on the following points</w:t>
            </w:r>
          </w:p>
          <w:p w14:paraId="26BA8A26" w14:textId="77777777" w:rsidR="00351CA6" w:rsidRDefault="00351CA6" w:rsidP="00995860"/>
          <w:p w14:paraId="3396E517" w14:textId="77777777" w:rsidR="00351CA6" w:rsidRPr="00351CA6" w:rsidRDefault="00351CA6" w:rsidP="00351CA6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51CA6">
              <w:rPr>
                <w:i/>
                <w:iCs/>
              </w:rPr>
              <w:t>Audience – is it clear it’s for community pharmacists and their teams?</w:t>
            </w:r>
          </w:p>
          <w:p w14:paraId="3EDF6644" w14:textId="77777777" w:rsidR="00351CA6" w:rsidRPr="00351CA6" w:rsidRDefault="00351CA6" w:rsidP="00351CA6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51CA6">
              <w:rPr>
                <w:i/>
                <w:iCs/>
              </w:rPr>
              <w:t>Problem – is it clear why we need this guide? E.g. to support community pharmacy teams to implement the model safely</w:t>
            </w:r>
          </w:p>
          <w:p w14:paraId="1B63206A" w14:textId="77777777" w:rsidR="00351CA6" w:rsidRPr="00351CA6" w:rsidRDefault="00351CA6" w:rsidP="00351CA6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51CA6">
              <w:rPr>
                <w:i/>
                <w:iCs/>
              </w:rPr>
              <w:t xml:space="preserve">Solution – is the call to action clear (e.g. perform risk assessments, use professional judgement) and will this guide have a positive impact on the audience and to patient safety? </w:t>
            </w:r>
          </w:p>
          <w:p w14:paraId="44DF3097" w14:textId="77777777" w:rsidR="00351CA6" w:rsidRPr="00351CA6" w:rsidRDefault="00351CA6" w:rsidP="00351CA6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51CA6">
              <w:rPr>
                <w:i/>
                <w:iCs/>
              </w:rPr>
              <w:t xml:space="preserve">Uniqueness - is the guide valuable, relevant and achievable in practice? </w:t>
            </w:r>
          </w:p>
          <w:p w14:paraId="4157DF88" w14:textId="77777777" w:rsidR="00351CA6" w:rsidRPr="00351CA6" w:rsidRDefault="00351CA6" w:rsidP="00351CA6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51CA6">
              <w:rPr>
                <w:i/>
                <w:iCs/>
              </w:rPr>
              <w:t>Roles and responsibilities – do you agree with who is responsible for actions specified?</w:t>
            </w:r>
          </w:p>
          <w:p w14:paraId="6327339B" w14:textId="77777777" w:rsidR="00351CA6" w:rsidRPr="00351CA6" w:rsidRDefault="00351CA6" w:rsidP="00351CA6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51CA6">
              <w:rPr>
                <w:i/>
                <w:iCs/>
              </w:rPr>
              <w:t>Current ways of working – how are you implementing the model in your pharmacy, what barriers have you encountered, could you share good practice example of what went well and what didn’t?</w:t>
            </w:r>
          </w:p>
          <w:p w14:paraId="71F39AEC" w14:textId="77777777" w:rsidR="00351CA6" w:rsidRPr="00351CA6" w:rsidRDefault="00351CA6" w:rsidP="00351CA6">
            <w:pPr>
              <w:numPr>
                <w:ilvl w:val="0"/>
                <w:numId w:val="25"/>
              </w:numPr>
              <w:rPr>
                <w:i/>
                <w:iCs/>
              </w:rPr>
            </w:pPr>
            <w:r w:rsidRPr="00351CA6">
              <w:rPr>
                <w:i/>
                <w:iCs/>
              </w:rPr>
              <w:t>What’s missing?</w:t>
            </w:r>
          </w:p>
          <w:p w14:paraId="443BEE63" w14:textId="77777777" w:rsidR="00351CA6" w:rsidRDefault="00351CA6" w:rsidP="00995860"/>
          <w:p w14:paraId="22568CD6" w14:textId="1202EC03" w:rsidR="00351CA6" w:rsidRPr="007C0870" w:rsidRDefault="00351CA6" w:rsidP="00995860"/>
        </w:tc>
      </w:tr>
      <w:tr w:rsidR="00995860" w:rsidRPr="000C7A2D" w14:paraId="559A8054" w14:textId="77777777" w:rsidTr="00DB29FE">
        <w:trPr>
          <w:trHeight w:val="381"/>
        </w:trPr>
        <w:tc>
          <w:tcPr>
            <w:tcW w:w="1271" w:type="dxa"/>
          </w:tcPr>
          <w:p w14:paraId="709B9F5B" w14:textId="77777777" w:rsidR="00995860" w:rsidRPr="004237B3" w:rsidRDefault="00995860" w:rsidP="00DB29FE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2E4F772B" w14:textId="42B683B5" w:rsidR="00422994" w:rsidRDefault="00422994" w:rsidP="00DB29FE">
            <w:r>
              <w:t>Heidi</w:t>
            </w:r>
            <w:r w:rsidR="00357293">
              <w:t xml:space="preserve"> Wright</w:t>
            </w:r>
            <w:r>
              <w:t xml:space="preserve"> </w:t>
            </w:r>
            <w:r w:rsidR="00357293">
              <w:t>shared</w:t>
            </w:r>
            <w:r>
              <w:t xml:space="preserve"> an update</w:t>
            </w:r>
            <w:r w:rsidR="00357293">
              <w:t>d</w:t>
            </w:r>
            <w:r>
              <w:t xml:space="preserve"> </w:t>
            </w:r>
            <w:r w:rsidRPr="006F1D70">
              <w:rPr>
                <w:b/>
                <w:bCs/>
              </w:rPr>
              <w:t>position statement</w:t>
            </w:r>
            <w:r w:rsidR="00357293">
              <w:rPr>
                <w:b/>
                <w:bCs/>
              </w:rPr>
              <w:t xml:space="preserve"> </w:t>
            </w:r>
            <w:r w:rsidR="00357293" w:rsidRPr="00357293">
              <w:t>(also shared in advance of the meeting)</w:t>
            </w:r>
            <w:r w:rsidR="00357293">
              <w:t xml:space="preserve"> with the group</w:t>
            </w:r>
            <w:r>
              <w:t xml:space="preserve">, </w:t>
            </w:r>
            <w:r w:rsidR="00357293">
              <w:t xml:space="preserve">which has incorporated </w:t>
            </w:r>
            <w:r>
              <w:t>changes</w:t>
            </w:r>
            <w:r w:rsidR="00357293">
              <w:t xml:space="preserve"> </w:t>
            </w:r>
            <w:proofErr w:type="gramStart"/>
            <w:r w:rsidR="00357293">
              <w:t>as a result of</w:t>
            </w:r>
            <w:proofErr w:type="gramEnd"/>
            <w:r w:rsidR="00357293">
              <w:t xml:space="preserve"> the previous</w:t>
            </w:r>
            <w:r>
              <w:t xml:space="preserve"> CPEAG meeting.</w:t>
            </w:r>
          </w:p>
          <w:p w14:paraId="02AD1A1A" w14:textId="255AA39E" w:rsidR="00422994" w:rsidRDefault="00422994" w:rsidP="00357293">
            <w:pPr>
              <w:pStyle w:val="ListParagraph"/>
              <w:numPr>
                <w:ilvl w:val="0"/>
                <w:numId w:val="29"/>
              </w:numPr>
            </w:pPr>
            <w:r>
              <w:t>Thoughts provided by the group on the tone of language</w:t>
            </w:r>
            <w:r w:rsidR="006F1D70">
              <w:t>, language could be softened</w:t>
            </w:r>
          </w:p>
          <w:p w14:paraId="6EA1251C" w14:textId="31B72F35" w:rsidR="00422994" w:rsidRDefault="00357293" w:rsidP="00357293">
            <w:pPr>
              <w:pStyle w:val="ListParagraph"/>
              <w:numPr>
                <w:ilvl w:val="0"/>
                <w:numId w:val="29"/>
              </w:numPr>
            </w:pPr>
            <w:r>
              <w:t>Ensure the statement makes it</w:t>
            </w:r>
            <w:r w:rsidR="006F1D70">
              <w:t xml:space="preserve"> clear </w:t>
            </w:r>
            <w:r>
              <w:t xml:space="preserve">that the model </w:t>
            </w:r>
            <w:r w:rsidR="006F1D70">
              <w:t xml:space="preserve">is an option for </w:t>
            </w:r>
            <w:r>
              <w:t>pharmacies</w:t>
            </w:r>
            <w:r w:rsidR="006F1D70">
              <w:t xml:space="preserve">, not </w:t>
            </w:r>
            <w:r>
              <w:t>necessarily suitable for all</w:t>
            </w:r>
            <w:r w:rsidR="006F1D70">
              <w:t>.</w:t>
            </w:r>
          </w:p>
          <w:p w14:paraId="07A2E8EB" w14:textId="4E24F16A" w:rsidR="006F1D70" w:rsidRDefault="006F1D70" w:rsidP="00357293">
            <w:pPr>
              <w:pStyle w:val="ListParagraph"/>
              <w:numPr>
                <w:ilvl w:val="0"/>
                <w:numId w:val="29"/>
              </w:numPr>
            </w:pPr>
            <w:r>
              <w:t>Consideration of the use of the word</w:t>
            </w:r>
            <w:r w:rsidR="00357293">
              <w:t>s</w:t>
            </w:r>
            <w:r>
              <w:t xml:space="preserve"> </w:t>
            </w:r>
            <w:r w:rsidR="00357293">
              <w:t xml:space="preserve">‘in </w:t>
            </w:r>
            <w:r>
              <w:t>principle</w:t>
            </w:r>
            <w:r w:rsidR="00357293">
              <w:t>’ within the statement</w:t>
            </w:r>
          </w:p>
          <w:p w14:paraId="4D43632E" w14:textId="17C45DAA" w:rsidR="006F1D70" w:rsidRDefault="00357293" w:rsidP="00357293">
            <w:pPr>
              <w:pStyle w:val="ListParagraph"/>
              <w:numPr>
                <w:ilvl w:val="0"/>
                <w:numId w:val="29"/>
              </w:numPr>
            </w:pPr>
            <w:r>
              <w:t>‘</w:t>
            </w:r>
            <w:r w:rsidR="006F1D70">
              <w:t>Limited published evidence</w:t>
            </w:r>
            <w:r>
              <w:t>’,</w:t>
            </w:r>
            <w:r w:rsidR="006F1D70">
              <w:t xml:space="preserve"> doesn’t mean there is a problem</w:t>
            </w:r>
          </w:p>
          <w:p w14:paraId="3CAFB54F" w14:textId="3DB3583F" w:rsidR="006F1D70" w:rsidRDefault="00357293" w:rsidP="00357293">
            <w:pPr>
              <w:pStyle w:val="ListParagraph"/>
              <w:numPr>
                <w:ilvl w:val="0"/>
                <w:numId w:val="29"/>
              </w:numPr>
            </w:pPr>
            <w:r>
              <w:t>Frame around</w:t>
            </w:r>
            <w:r w:rsidR="006F1D70">
              <w:t xml:space="preserve"> </w:t>
            </w:r>
            <w:r>
              <w:t>‘</w:t>
            </w:r>
            <w:r w:rsidR="006F1D70">
              <w:t>removing barriers to accessibility</w:t>
            </w:r>
            <w:r>
              <w:t>’</w:t>
            </w:r>
          </w:p>
          <w:p w14:paraId="6AF39850" w14:textId="4324C37E" w:rsidR="006F1D70" w:rsidRDefault="006F1D70" w:rsidP="00357293">
            <w:pPr>
              <w:pStyle w:val="ListParagraph"/>
              <w:numPr>
                <w:ilvl w:val="0"/>
                <w:numId w:val="29"/>
              </w:numPr>
            </w:pPr>
            <w:r>
              <w:t>Definition of facilitated self-selection of P medicines up front</w:t>
            </w:r>
          </w:p>
          <w:p w14:paraId="05474771" w14:textId="77777777" w:rsidR="006F1D70" w:rsidRDefault="006F1D70" w:rsidP="00422994"/>
          <w:p w14:paraId="29409189" w14:textId="77777777" w:rsidR="00357293" w:rsidRDefault="00357293" w:rsidP="00422994">
            <w:pPr>
              <w:rPr>
                <w:b/>
                <w:bCs/>
              </w:rPr>
            </w:pPr>
          </w:p>
          <w:p w14:paraId="18E81EFE" w14:textId="776CF003" w:rsidR="006F1D70" w:rsidRDefault="00C60E59" w:rsidP="00422994">
            <w:r>
              <w:rPr>
                <w:b/>
                <w:bCs/>
              </w:rPr>
              <w:t>Wing</w:t>
            </w:r>
            <w:r w:rsidR="00357293">
              <w:rPr>
                <w:b/>
                <w:bCs/>
              </w:rPr>
              <w:t xml:space="preserve"> Tang</w:t>
            </w:r>
            <w:r>
              <w:rPr>
                <w:b/>
                <w:bCs/>
              </w:rPr>
              <w:t xml:space="preserve"> </w:t>
            </w:r>
            <w:r w:rsidRPr="00357293">
              <w:t xml:space="preserve">provided </w:t>
            </w:r>
            <w:r w:rsidR="00357293" w:rsidRPr="00357293">
              <w:t xml:space="preserve">an </w:t>
            </w:r>
            <w:r w:rsidRPr="00357293">
              <w:t xml:space="preserve">update on the </w:t>
            </w:r>
            <w:r w:rsidR="00357293" w:rsidRPr="00357293">
              <w:t xml:space="preserve">Professional </w:t>
            </w:r>
            <w:r w:rsidR="006F1D70" w:rsidRPr="00357293">
              <w:t>Guidance</w:t>
            </w:r>
            <w:r w:rsidR="00357293" w:rsidRPr="00357293">
              <w:t xml:space="preserve"> that will accompany the position statement.</w:t>
            </w:r>
          </w:p>
          <w:p w14:paraId="47AED779" w14:textId="38317FDC" w:rsidR="00357293" w:rsidRDefault="00357293" w:rsidP="00422994">
            <w:pPr>
              <w:rPr>
                <w:b/>
                <w:bCs/>
              </w:rPr>
            </w:pPr>
            <w:r>
              <w:t>The group provided some specific thoughts captured below and will forward on any additional thoughts</w:t>
            </w:r>
          </w:p>
          <w:p w14:paraId="37B99BD1" w14:textId="25F3542B" w:rsidR="006F1D70" w:rsidRDefault="00357293" w:rsidP="00357293">
            <w:pPr>
              <w:pStyle w:val="ListParagraph"/>
              <w:numPr>
                <w:ilvl w:val="0"/>
                <w:numId w:val="30"/>
              </w:numPr>
            </w:pPr>
            <w:r>
              <w:t>‘</w:t>
            </w:r>
            <w:r w:rsidR="00C60E59" w:rsidRPr="00357293">
              <w:rPr>
                <w:i/>
                <w:iCs/>
              </w:rPr>
              <w:t>Refer to another pharmacist in the same pharmacy</w:t>
            </w:r>
            <w:r w:rsidRPr="00357293">
              <w:rPr>
                <w:i/>
                <w:iCs/>
              </w:rPr>
              <w:t>’</w:t>
            </w:r>
            <w:r w:rsidR="00C60E59">
              <w:t xml:space="preserve"> – not practical when you are the RP</w:t>
            </w:r>
            <w:r>
              <w:t xml:space="preserve"> – </w:t>
            </w:r>
          </w:p>
          <w:p w14:paraId="2B817750" w14:textId="4DE1C1B0" w:rsidR="00C60E59" w:rsidRDefault="00357293" w:rsidP="00357293">
            <w:pPr>
              <w:pStyle w:val="ListParagraph"/>
              <w:numPr>
                <w:ilvl w:val="0"/>
                <w:numId w:val="30"/>
              </w:numPr>
            </w:pPr>
            <w:r w:rsidRPr="00357293">
              <w:rPr>
                <w:i/>
                <w:iCs/>
              </w:rPr>
              <w:t>‘</w:t>
            </w:r>
            <w:r w:rsidR="00C60E59" w:rsidRPr="00357293">
              <w:rPr>
                <w:i/>
                <w:iCs/>
              </w:rPr>
              <w:t xml:space="preserve">Closing off the facilitated </w:t>
            </w:r>
            <w:r w:rsidRPr="00357293">
              <w:rPr>
                <w:i/>
                <w:iCs/>
              </w:rPr>
              <w:t>self-selection</w:t>
            </w:r>
            <w:r w:rsidR="00C60E59" w:rsidRPr="00357293">
              <w:rPr>
                <w:i/>
                <w:iCs/>
              </w:rPr>
              <w:t xml:space="preserve"> of the pharmacy to prevent access</w:t>
            </w:r>
            <w:r w:rsidRPr="00357293">
              <w:rPr>
                <w:i/>
                <w:iCs/>
              </w:rPr>
              <w:t>’</w:t>
            </w:r>
            <w:r w:rsidR="00C60E59">
              <w:t xml:space="preserve"> – impractical when P medicines are mixed with GSL in condition categories, depends on the pharmacy, so maybe add ‘where appropriate’</w:t>
            </w:r>
            <w:r>
              <w:t>. In addition, ‘closing off’ suggests the medicines can then not be sold at all.</w:t>
            </w:r>
            <w:r w:rsidR="00C60E59">
              <w:t xml:space="preserve"> </w:t>
            </w:r>
          </w:p>
          <w:p w14:paraId="03DA3746" w14:textId="6D536673" w:rsidR="00C60E59" w:rsidRDefault="00357293" w:rsidP="00357293">
            <w:pPr>
              <w:pStyle w:val="ListParagraph"/>
              <w:numPr>
                <w:ilvl w:val="0"/>
                <w:numId w:val="30"/>
              </w:numPr>
            </w:pPr>
            <w:r>
              <w:t>‘</w:t>
            </w:r>
            <w:r w:rsidR="00C60E59" w:rsidRPr="00357293">
              <w:rPr>
                <w:i/>
                <w:iCs/>
              </w:rPr>
              <w:t>There’s not enough staff</w:t>
            </w:r>
            <w:r w:rsidRPr="00357293">
              <w:rPr>
                <w:i/>
                <w:iCs/>
              </w:rPr>
              <w:t>’</w:t>
            </w:r>
            <w:r w:rsidR="00C60E59">
              <w:t xml:space="preserve"> – should be about the skills of the staff, not the number</w:t>
            </w:r>
            <w:r>
              <w:t xml:space="preserve">, difficult to define ‘enough’ </w:t>
            </w:r>
          </w:p>
          <w:p w14:paraId="058D43DB" w14:textId="02A94F20" w:rsidR="004C5B8B" w:rsidRDefault="004C5B8B" w:rsidP="00357293">
            <w:pPr>
              <w:pStyle w:val="ListParagraph"/>
              <w:numPr>
                <w:ilvl w:val="0"/>
                <w:numId w:val="30"/>
              </w:numPr>
            </w:pPr>
            <w:r>
              <w:t xml:space="preserve">Responsibility of SI/owner to make potential locum pharmacist/new employee aware that a facilitated </w:t>
            </w:r>
            <w:r w:rsidR="00AB62B1">
              <w:t>self-selection</w:t>
            </w:r>
            <w:r>
              <w:t xml:space="preserve"> of P medicines model is in place</w:t>
            </w:r>
          </w:p>
          <w:p w14:paraId="2D5D70EB" w14:textId="03562CA5" w:rsidR="004C5B8B" w:rsidRDefault="00AB62B1" w:rsidP="00AB62B1">
            <w:pPr>
              <w:pStyle w:val="ListParagraph"/>
              <w:numPr>
                <w:ilvl w:val="0"/>
                <w:numId w:val="30"/>
              </w:numPr>
            </w:pPr>
            <w:r>
              <w:t>Language and detail of scenarios where there may be problems, potentially makes the model appear</w:t>
            </w:r>
            <w:r w:rsidR="004C5B8B">
              <w:t xml:space="preserve"> unnecessarily difficult to implement, when there are examples of this operating well in practice</w:t>
            </w:r>
            <w:r>
              <w:t>.</w:t>
            </w:r>
          </w:p>
          <w:p w14:paraId="3487157F" w14:textId="77777777" w:rsidR="004C5B8B" w:rsidRDefault="004C5B8B" w:rsidP="00422994"/>
          <w:p w14:paraId="5164E908" w14:textId="69B412FF" w:rsidR="004C5B8B" w:rsidRDefault="004C5B8B" w:rsidP="00AB62B1">
            <w:pPr>
              <w:pStyle w:val="ListParagraph"/>
              <w:numPr>
                <w:ilvl w:val="0"/>
                <w:numId w:val="30"/>
              </w:numPr>
            </w:pPr>
            <w:r>
              <w:t xml:space="preserve">As </w:t>
            </w:r>
            <w:r w:rsidR="00AB62B1">
              <w:t>the Guidance</w:t>
            </w:r>
            <w:r>
              <w:t xml:space="preserve"> is worded, </w:t>
            </w:r>
            <w:r w:rsidR="00AB62B1">
              <w:t xml:space="preserve">it appears </w:t>
            </w:r>
            <w:r>
              <w:t>it</w:t>
            </w:r>
            <w:r w:rsidR="00AB62B1">
              <w:t>’</w:t>
            </w:r>
            <w:r>
              <w:t>s aimed at owners, too much information and too complicated for a relatively straight forward process</w:t>
            </w:r>
          </w:p>
          <w:p w14:paraId="75410002" w14:textId="794EB67F" w:rsidR="004C5B8B" w:rsidRPr="00AB62B1" w:rsidRDefault="004C5B8B" w:rsidP="00AB62B1">
            <w:pPr>
              <w:pStyle w:val="ListParagraph"/>
              <w:numPr>
                <w:ilvl w:val="0"/>
                <w:numId w:val="25"/>
              </w:numPr>
              <w:rPr>
                <w:b/>
                <w:bCs/>
              </w:rPr>
            </w:pPr>
            <w:r w:rsidRPr="00AB62B1">
              <w:rPr>
                <w:b/>
                <w:bCs/>
              </w:rPr>
              <w:t>Would benefit from a more concise approach</w:t>
            </w:r>
          </w:p>
          <w:p w14:paraId="59C4A40C" w14:textId="3C49A857" w:rsidR="004C5B8B" w:rsidRDefault="004C5B8B" w:rsidP="00AB62B1">
            <w:pPr>
              <w:pStyle w:val="ListParagraph"/>
              <w:numPr>
                <w:ilvl w:val="0"/>
                <w:numId w:val="25"/>
              </w:numPr>
            </w:pPr>
            <w:r>
              <w:t>Potential to add in case studies</w:t>
            </w:r>
            <w:r w:rsidR="00AB62B1">
              <w:t>?</w:t>
            </w:r>
          </w:p>
          <w:p w14:paraId="1C935E44" w14:textId="77F5686A" w:rsidR="004C5B8B" w:rsidRDefault="004C5B8B" w:rsidP="00AB62B1">
            <w:pPr>
              <w:pStyle w:val="ListParagraph"/>
              <w:numPr>
                <w:ilvl w:val="0"/>
                <w:numId w:val="25"/>
              </w:numPr>
            </w:pPr>
            <w:r>
              <w:t xml:space="preserve">A list of </w:t>
            </w:r>
            <w:r w:rsidR="00AB62B1">
              <w:t>‘</w:t>
            </w:r>
            <w:r>
              <w:t>unsuitable medicines</w:t>
            </w:r>
            <w:r w:rsidR="00AB62B1">
              <w:t>’</w:t>
            </w:r>
            <w:r>
              <w:t xml:space="preserve"> is not </w:t>
            </w:r>
            <w:r w:rsidR="00FC346F">
              <w:t>practical</w:t>
            </w:r>
            <w:r w:rsidR="000713D3">
              <w:t xml:space="preserve"> </w:t>
            </w:r>
            <w:r w:rsidR="000713D3" w:rsidRPr="00C227D6">
              <w:rPr>
                <w:color w:val="000000" w:themeColor="text1"/>
              </w:rPr>
              <w:t>though example categories is helpful</w:t>
            </w:r>
            <w:r w:rsidR="00C47723" w:rsidRPr="00C227D6">
              <w:rPr>
                <w:color w:val="000000" w:themeColor="text1"/>
              </w:rPr>
              <w:t xml:space="preserve">. The decision will vary between pharmacies based in location and patient cohorts. </w:t>
            </w:r>
            <w:r w:rsidR="00AB62B1" w:rsidRPr="00C227D6">
              <w:rPr>
                <w:color w:val="000000" w:themeColor="text1"/>
              </w:rPr>
              <w:t xml:space="preserve"> </w:t>
            </w:r>
          </w:p>
          <w:p w14:paraId="3B7DEA34" w14:textId="77777777" w:rsidR="00FC346F" w:rsidRDefault="00FC346F" w:rsidP="00422994"/>
          <w:p w14:paraId="4448BDFA" w14:textId="7AF81FDD" w:rsidR="00FC346F" w:rsidRDefault="00FC346F" w:rsidP="00AB62B1">
            <w:pPr>
              <w:pStyle w:val="ListParagraph"/>
              <w:numPr>
                <w:ilvl w:val="0"/>
                <w:numId w:val="25"/>
              </w:numPr>
            </w:pPr>
            <w:r>
              <w:t xml:space="preserve">Consider if </w:t>
            </w:r>
            <w:r w:rsidR="00AB62B1">
              <w:t>sections of the document can be split into the intended audience e.g. Section for ‘Pharmacy owners’, Superintendent pharmacists, Responsible Pharmacist etc.</w:t>
            </w:r>
          </w:p>
          <w:p w14:paraId="61639FF9" w14:textId="77777777" w:rsidR="00C60E59" w:rsidRPr="006F1D70" w:rsidRDefault="00C60E59" w:rsidP="00422994"/>
          <w:p w14:paraId="50927899" w14:textId="77777777" w:rsidR="006F1D70" w:rsidRDefault="006F1D70" w:rsidP="00422994"/>
          <w:p w14:paraId="494AC993" w14:textId="77777777" w:rsidR="006F1D70" w:rsidRDefault="006F1D70" w:rsidP="00422994"/>
          <w:p w14:paraId="1D3D5960" w14:textId="4404B534" w:rsidR="006F1D70" w:rsidRPr="000C7A2D" w:rsidRDefault="006F1D70" w:rsidP="00422994"/>
        </w:tc>
      </w:tr>
      <w:tr w:rsidR="00AB62B1" w:rsidRPr="000C7A2D" w14:paraId="1AC264A6" w14:textId="77777777" w:rsidTr="00DB29FE">
        <w:trPr>
          <w:trHeight w:val="381"/>
        </w:trPr>
        <w:tc>
          <w:tcPr>
            <w:tcW w:w="1271" w:type="dxa"/>
          </w:tcPr>
          <w:p w14:paraId="17F1F8EC" w14:textId="77777777" w:rsidR="00AB62B1" w:rsidRPr="004237B3" w:rsidRDefault="00AB62B1" w:rsidP="00DB29FE">
            <w:pPr>
              <w:rPr>
                <w:b/>
                <w:bCs/>
              </w:rPr>
            </w:pPr>
          </w:p>
        </w:tc>
        <w:tc>
          <w:tcPr>
            <w:tcW w:w="7745" w:type="dxa"/>
          </w:tcPr>
          <w:p w14:paraId="38E74156" w14:textId="77777777" w:rsidR="00AB62B1" w:rsidRDefault="00AB62B1" w:rsidP="00DB29FE"/>
        </w:tc>
      </w:tr>
    </w:tbl>
    <w:p w14:paraId="328BB88E" w14:textId="77777777" w:rsidR="0020625F" w:rsidRDefault="0020625F" w:rsidP="004130F1">
      <w:pPr>
        <w:spacing w:after="0"/>
      </w:pPr>
    </w:p>
    <w:p w14:paraId="66461CF5" w14:textId="2151C090" w:rsidR="00EC67C4" w:rsidRPr="004130F1" w:rsidRDefault="00EC67C4" w:rsidP="00EC67C4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4: AOB</w:t>
      </w:r>
      <w:r w:rsidR="00DA2A2E">
        <w:rPr>
          <w:b/>
          <w:bCs/>
          <w:color w:val="000000" w:themeColor="text1"/>
        </w:rPr>
        <w:t xml:space="preserve"> – led by Janice, 5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EC67C4" w:rsidRPr="007C0870" w14:paraId="65CB0DE9" w14:textId="77777777" w:rsidTr="00743C78">
        <w:trPr>
          <w:trHeight w:val="638"/>
        </w:trPr>
        <w:tc>
          <w:tcPr>
            <w:tcW w:w="1271" w:type="dxa"/>
          </w:tcPr>
          <w:p w14:paraId="2AD1CAEE" w14:textId="77777777" w:rsidR="00EC67C4" w:rsidRPr="004237B3" w:rsidRDefault="00EC67C4" w:rsidP="00743C78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4D62E3D4" w14:textId="289FB143" w:rsidR="00EC67C4" w:rsidRPr="007C0870" w:rsidRDefault="00DA2A2E" w:rsidP="00743C78">
            <w:r>
              <w:t>To discuss AOB, please inform chair prior to the meeting</w:t>
            </w:r>
          </w:p>
        </w:tc>
      </w:tr>
      <w:tr w:rsidR="00EC67C4" w:rsidRPr="000C7A2D" w14:paraId="661F8B62" w14:textId="77777777" w:rsidTr="00743C78">
        <w:trPr>
          <w:trHeight w:val="381"/>
        </w:trPr>
        <w:tc>
          <w:tcPr>
            <w:tcW w:w="1271" w:type="dxa"/>
          </w:tcPr>
          <w:p w14:paraId="39E191F1" w14:textId="77777777" w:rsidR="00EC67C4" w:rsidRPr="004237B3" w:rsidRDefault="00EC67C4" w:rsidP="00743C78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35ABC137" w14:textId="6ED42B55" w:rsidR="00EC67C4" w:rsidRPr="0018048E" w:rsidRDefault="00FC346F" w:rsidP="00743C78">
            <w:pPr>
              <w:rPr>
                <w:b/>
                <w:bCs/>
              </w:rPr>
            </w:pPr>
            <w:r w:rsidRPr="0018048E">
              <w:rPr>
                <w:b/>
                <w:bCs/>
              </w:rPr>
              <w:t>Hub and spoke</w:t>
            </w:r>
            <w:r w:rsidR="0018048E" w:rsidRPr="0018048E">
              <w:rPr>
                <w:b/>
                <w:bCs/>
              </w:rPr>
              <w:t xml:space="preserve"> (across two legal entities)</w:t>
            </w:r>
          </w:p>
          <w:p w14:paraId="7E71158D" w14:textId="1EB66F35" w:rsidR="00FC346F" w:rsidRDefault="00FC346F" w:rsidP="00B3416F">
            <w:r>
              <w:t>Group</w:t>
            </w:r>
            <w:r w:rsidR="00B3416F">
              <w:t xml:space="preserve"> were</w:t>
            </w:r>
            <w:r>
              <w:t xml:space="preserve"> asked to consider if guidance/support </w:t>
            </w:r>
            <w:r w:rsidR="00B3416F">
              <w:t>was</w:t>
            </w:r>
            <w:r w:rsidR="0018048E">
              <w:t xml:space="preserve"> needed</w:t>
            </w:r>
            <w:r w:rsidR="00B3416F">
              <w:t xml:space="preserve"> </w:t>
            </w:r>
          </w:p>
          <w:p w14:paraId="22CB749B" w14:textId="517FF1D3" w:rsidR="00B3416F" w:rsidRDefault="00B3416F" w:rsidP="00B3416F">
            <w:r>
              <w:t>The group provided the following thoughts</w:t>
            </w:r>
          </w:p>
          <w:p w14:paraId="6E553479" w14:textId="26A96C1F" w:rsidR="0018048E" w:rsidRDefault="0018048E" w:rsidP="0018048E">
            <w:pPr>
              <w:pStyle w:val="ListParagraph"/>
              <w:numPr>
                <w:ilvl w:val="0"/>
                <w:numId w:val="25"/>
              </w:numPr>
            </w:pPr>
            <w:r>
              <w:t xml:space="preserve">Guidance potentially required, things to work through and what to do/consider when things don’t go well, </w:t>
            </w:r>
            <w:r w:rsidR="00B3416F">
              <w:t>however it’s t</w:t>
            </w:r>
            <w:r>
              <w:t>oo early to pull together yet</w:t>
            </w:r>
            <w:r w:rsidR="00B3416F">
              <w:t>.</w:t>
            </w:r>
          </w:p>
          <w:p w14:paraId="3B69012D" w14:textId="17309652" w:rsidR="00B3416F" w:rsidRDefault="00B3416F" w:rsidP="00B3416F">
            <w:pPr>
              <w:pStyle w:val="ListParagraph"/>
              <w:numPr>
                <w:ilvl w:val="0"/>
                <w:numId w:val="25"/>
              </w:numPr>
            </w:pPr>
            <w:r>
              <w:t>Number of organisations may be well placed to collaborate on a piece of guidance</w:t>
            </w:r>
          </w:p>
          <w:p w14:paraId="7529280E" w14:textId="46F2AA94" w:rsidR="0018048E" w:rsidRDefault="0018048E" w:rsidP="0018048E">
            <w:pPr>
              <w:pStyle w:val="ListParagraph"/>
              <w:numPr>
                <w:ilvl w:val="0"/>
                <w:numId w:val="25"/>
              </w:numPr>
            </w:pPr>
            <w:r>
              <w:t>Give people the tools to enable a logical process of consideration</w:t>
            </w:r>
          </w:p>
          <w:p w14:paraId="761C7F7C" w14:textId="77777777" w:rsidR="0018048E" w:rsidRDefault="0018048E" w:rsidP="0018048E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What is the process when patients have not provided informed consent to have prescription dispensed by a different legal entity</w:t>
            </w:r>
          </w:p>
          <w:p w14:paraId="2B052AAD" w14:textId="77777777" w:rsidR="0018048E" w:rsidRDefault="0018048E" w:rsidP="0018048E"/>
          <w:p w14:paraId="293347C5" w14:textId="77777777" w:rsidR="00B3416F" w:rsidRDefault="00B3416F" w:rsidP="0018048E">
            <w:pPr>
              <w:rPr>
                <w:b/>
                <w:bCs/>
              </w:rPr>
            </w:pPr>
            <w:r>
              <w:rPr>
                <w:b/>
                <w:bCs/>
              </w:rPr>
              <w:t>For noting:</w:t>
            </w:r>
          </w:p>
          <w:p w14:paraId="1DA88C6A" w14:textId="112DD634" w:rsidR="0018048E" w:rsidRPr="0018048E" w:rsidRDefault="0018048E" w:rsidP="0018048E">
            <w:pPr>
              <w:rPr>
                <w:b/>
                <w:bCs/>
              </w:rPr>
            </w:pPr>
            <w:r w:rsidRPr="0018048E">
              <w:rPr>
                <w:b/>
                <w:bCs/>
              </w:rPr>
              <w:t>Next meeting</w:t>
            </w:r>
            <w:r w:rsidR="00B3416F">
              <w:rPr>
                <w:b/>
                <w:bCs/>
              </w:rPr>
              <w:t xml:space="preserve"> CPEAG: Monday</w:t>
            </w:r>
            <w:r w:rsidRPr="0018048E">
              <w:rPr>
                <w:b/>
                <w:bCs/>
              </w:rPr>
              <w:t xml:space="preserve"> 14</w:t>
            </w:r>
            <w:r w:rsidRPr="0018048E">
              <w:rPr>
                <w:b/>
                <w:bCs/>
                <w:vertAlign w:val="superscript"/>
              </w:rPr>
              <w:t>th</w:t>
            </w:r>
            <w:r w:rsidRPr="0018048E">
              <w:rPr>
                <w:b/>
                <w:bCs/>
              </w:rPr>
              <w:t xml:space="preserve"> July 2025</w:t>
            </w:r>
          </w:p>
        </w:tc>
      </w:tr>
    </w:tbl>
    <w:p w14:paraId="52516E65" w14:textId="77777777" w:rsidR="00EC67C4" w:rsidRDefault="00EC67C4" w:rsidP="004130F1">
      <w:pPr>
        <w:spacing w:after="0"/>
      </w:pPr>
    </w:p>
    <w:p w14:paraId="6FC4A6F6" w14:textId="77777777" w:rsidR="00EC67C4" w:rsidRDefault="00EC67C4" w:rsidP="004130F1">
      <w:pPr>
        <w:spacing w:after="0"/>
      </w:pPr>
    </w:p>
    <w:sectPr w:rsidR="00EC67C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4378" w14:textId="77777777" w:rsidR="00BF74B7" w:rsidRDefault="00BF74B7" w:rsidP="00E14CCB">
      <w:pPr>
        <w:spacing w:after="0" w:line="240" w:lineRule="auto"/>
      </w:pPr>
      <w:r>
        <w:separator/>
      </w:r>
    </w:p>
  </w:endnote>
  <w:endnote w:type="continuationSeparator" w:id="0">
    <w:p w14:paraId="5ED95A36" w14:textId="77777777" w:rsidR="00BF74B7" w:rsidRDefault="00BF74B7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BDA1" w14:textId="77777777" w:rsidR="00BF74B7" w:rsidRDefault="00BF74B7" w:rsidP="00E14CCB">
      <w:pPr>
        <w:spacing w:after="0" w:line="240" w:lineRule="auto"/>
      </w:pPr>
      <w:r>
        <w:separator/>
      </w:r>
    </w:p>
  </w:footnote>
  <w:footnote w:type="continuationSeparator" w:id="0">
    <w:p w14:paraId="79537C02" w14:textId="77777777" w:rsidR="00BF74B7" w:rsidRDefault="00BF74B7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312C" w14:textId="18AF1A2B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C7E1C"/>
    <w:multiLevelType w:val="hybridMultilevel"/>
    <w:tmpl w:val="866439AE"/>
    <w:lvl w:ilvl="0" w:tplc="3CC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00CD"/>
    <w:multiLevelType w:val="hybridMultilevel"/>
    <w:tmpl w:val="2ABE2B44"/>
    <w:lvl w:ilvl="0" w:tplc="A3C06B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7D20"/>
    <w:multiLevelType w:val="hybridMultilevel"/>
    <w:tmpl w:val="EAFC8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564F7"/>
    <w:multiLevelType w:val="hybridMultilevel"/>
    <w:tmpl w:val="6D16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741F"/>
    <w:multiLevelType w:val="hybridMultilevel"/>
    <w:tmpl w:val="B9D4742A"/>
    <w:lvl w:ilvl="0" w:tplc="CEFE7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63012"/>
    <w:multiLevelType w:val="hybridMultilevel"/>
    <w:tmpl w:val="4EC41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7457A"/>
    <w:multiLevelType w:val="multilevel"/>
    <w:tmpl w:val="1C70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A04B59"/>
    <w:multiLevelType w:val="hybridMultilevel"/>
    <w:tmpl w:val="553E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0A83"/>
    <w:multiLevelType w:val="hybridMultilevel"/>
    <w:tmpl w:val="55B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270B"/>
    <w:multiLevelType w:val="hybridMultilevel"/>
    <w:tmpl w:val="248A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4089"/>
    <w:multiLevelType w:val="multilevel"/>
    <w:tmpl w:val="F9C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6BFC"/>
    <w:multiLevelType w:val="hybridMultilevel"/>
    <w:tmpl w:val="8B80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01520"/>
    <w:multiLevelType w:val="hybridMultilevel"/>
    <w:tmpl w:val="2934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709F9"/>
    <w:multiLevelType w:val="hybridMultilevel"/>
    <w:tmpl w:val="9AF63410"/>
    <w:lvl w:ilvl="0" w:tplc="D8C800F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D31C3"/>
    <w:multiLevelType w:val="hybridMultilevel"/>
    <w:tmpl w:val="FF34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7193C"/>
    <w:multiLevelType w:val="multilevel"/>
    <w:tmpl w:val="90FA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A1A91"/>
    <w:multiLevelType w:val="hybridMultilevel"/>
    <w:tmpl w:val="DD4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F30084"/>
    <w:multiLevelType w:val="multilevel"/>
    <w:tmpl w:val="DF1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5380401">
    <w:abstractNumId w:val="16"/>
  </w:num>
  <w:num w:numId="2" w16cid:durableId="207030960">
    <w:abstractNumId w:val="21"/>
  </w:num>
  <w:num w:numId="3" w16cid:durableId="1343433788">
    <w:abstractNumId w:val="22"/>
  </w:num>
  <w:num w:numId="4" w16cid:durableId="1523982225">
    <w:abstractNumId w:val="26"/>
  </w:num>
  <w:num w:numId="5" w16cid:durableId="888109509">
    <w:abstractNumId w:val="1"/>
  </w:num>
  <w:num w:numId="6" w16cid:durableId="1379166248">
    <w:abstractNumId w:val="3"/>
  </w:num>
  <w:num w:numId="7" w16cid:durableId="477116189">
    <w:abstractNumId w:val="0"/>
  </w:num>
  <w:num w:numId="8" w16cid:durableId="61175954">
    <w:abstractNumId w:val="17"/>
  </w:num>
  <w:num w:numId="9" w16cid:durableId="571895597">
    <w:abstractNumId w:val="24"/>
  </w:num>
  <w:num w:numId="10" w16cid:durableId="16349256">
    <w:abstractNumId w:val="13"/>
  </w:num>
  <w:num w:numId="11" w16cid:durableId="1911959645">
    <w:abstractNumId w:val="2"/>
  </w:num>
  <w:num w:numId="12" w16cid:durableId="930119032">
    <w:abstractNumId w:val="28"/>
  </w:num>
  <w:num w:numId="13" w16cid:durableId="1716659920">
    <w:abstractNumId w:val="27"/>
  </w:num>
  <w:num w:numId="14" w16cid:durableId="1008796956">
    <w:abstractNumId w:val="4"/>
  </w:num>
  <w:num w:numId="15" w16cid:durableId="803356695">
    <w:abstractNumId w:val="5"/>
  </w:num>
  <w:num w:numId="16" w16cid:durableId="7954821">
    <w:abstractNumId w:val="14"/>
  </w:num>
  <w:num w:numId="17" w16cid:durableId="357048134">
    <w:abstractNumId w:val="15"/>
  </w:num>
  <w:num w:numId="18" w16cid:durableId="2113163446">
    <w:abstractNumId w:val="25"/>
  </w:num>
  <w:num w:numId="19" w16cid:durableId="1191264414">
    <w:abstractNumId w:val="10"/>
  </w:num>
  <w:num w:numId="20" w16cid:durableId="872108541">
    <w:abstractNumId w:val="29"/>
  </w:num>
  <w:num w:numId="21" w16cid:durableId="240412464">
    <w:abstractNumId w:val="20"/>
  </w:num>
  <w:num w:numId="22" w16cid:durableId="1407798886">
    <w:abstractNumId w:val="8"/>
  </w:num>
  <w:num w:numId="23" w16cid:durableId="590352452">
    <w:abstractNumId w:val="6"/>
  </w:num>
  <w:num w:numId="24" w16cid:durableId="1878854268">
    <w:abstractNumId w:val="7"/>
  </w:num>
  <w:num w:numId="25" w16cid:durableId="1522938138">
    <w:abstractNumId w:val="11"/>
  </w:num>
  <w:num w:numId="26" w16cid:durableId="2037195296">
    <w:abstractNumId w:val="19"/>
  </w:num>
  <w:num w:numId="27" w16cid:durableId="35467868">
    <w:abstractNumId w:val="9"/>
  </w:num>
  <w:num w:numId="28" w16cid:durableId="1613593660">
    <w:abstractNumId w:val="23"/>
  </w:num>
  <w:num w:numId="29" w16cid:durableId="992412996">
    <w:abstractNumId w:val="12"/>
  </w:num>
  <w:num w:numId="30" w16cid:durableId="1566137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14D6A"/>
    <w:rsid w:val="00021A24"/>
    <w:rsid w:val="00024749"/>
    <w:rsid w:val="00024F7C"/>
    <w:rsid w:val="00033882"/>
    <w:rsid w:val="00041B7E"/>
    <w:rsid w:val="0004414A"/>
    <w:rsid w:val="00046FE2"/>
    <w:rsid w:val="0005713A"/>
    <w:rsid w:val="00070D06"/>
    <w:rsid w:val="000713D3"/>
    <w:rsid w:val="00076F9A"/>
    <w:rsid w:val="00087631"/>
    <w:rsid w:val="000905CF"/>
    <w:rsid w:val="00096DE7"/>
    <w:rsid w:val="000A0C1D"/>
    <w:rsid w:val="000B43CF"/>
    <w:rsid w:val="000C3BA1"/>
    <w:rsid w:val="000C5A09"/>
    <w:rsid w:val="000C5BF6"/>
    <w:rsid w:val="000C7A2D"/>
    <w:rsid w:val="000D38DC"/>
    <w:rsid w:val="000D6BCA"/>
    <w:rsid w:val="000E0B6A"/>
    <w:rsid w:val="000E20F5"/>
    <w:rsid w:val="000E4BB0"/>
    <w:rsid w:val="00113E6A"/>
    <w:rsid w:val="00132376"/>
    <w:rsid w:val="0015099B"/>
    <w:rsid w:val="001527E0"/>
    <w:rsid w:val="001618C4"/>
    <w:rsid w:val="00176C8A"/>
    <w:rsid w:val="0018048E"/>
    <w:rsid w:val="001864F2"/>
    <w:rsid w:val="00193459"/>
    <w:rsid w:val="001972FC"/>
    <w:rsid w:val="001A4300"/>
    <w:rsid w:val="001C1C5E"/>
    <w:rsid w:val="001E764A"/>
    <w:rsid w:val="002006F3"/>
    <w:rsid w:val="00203D6B"/>
    <w:rsid w:val="0020625F"/>
    <w:rsid w:val="00206511"/>
    <w:rsid w:val="002153F3"/>
    <w:rsid w:val="002309F5"/>
    <w:rsid w:val="002358F4"/>
    <w:rsid w:val="0023596A"/>
    <w:rsid w:val="002374E0"/>
    <w:rsid w:val="002454E3"/>
    <w:rsid w:val="00246364"/>
    <w:rsid w:val="00246A47"/>
    <w:rsid w:val="00246B57"/>
    <w:rsid w:val="00262DBA"/>
    <w:rsid w:val="0026426F"/>
    <w:rsid w:val="00266D97"/>
    <w:rsid w:val="00267351"/>
    <w:rsid w:val="00275D1B"/>
    <w:rsid w:val="00287D20"/>
    <w:rsid w:val="00296ACA"/>
    <w:rsid w:val="002A4101"/>
    <w:rsid w:val="002B7F1E"/>
    <w:rsid w:val="002D1B7D"/>
    <w:rsid w:val="002E79F3"/>
    <w:rsid w:val="002F6091"/>
    <w:rsid w:val="00304224"/>
    <w:rsid w:val="00314536"/>
    <w:rsid w:val="00317CF0"/>
    <w:rsid w:val="00321603"/>
    <w:rsid w:val="0032735D"/>
    <w:rsid w:val="00327390"/>
    <w:rsid w:val="00327C7D"/>
    <w:rsid w:val="003343B0"/>
    <w:rsid w:val="00335746"/>
    <w:rsid w:val="00337EF2"/>
    <w:rsid w:val="00340F20"/>
    <w:rsid w:val="00346E9A"/>
    <w:rsid w:val="00350DFD"/>
    <w:rsid w:val="00351CA6"/>
    <w:rsid w:val="00351FE0"/>
    <w:rsid w:val="00357293"/>
    <w:rsid w:val="00372787"/>
    <w:rsid w:val="00372DFA"/>
    <w:rsid w:val="00384591"/>
    <w:rsid w:val="0039114F"/>
    <w:rsid w:val="0039206B"/>
    <w:rsid w:val="00395B16"/>
    <w:rsid w:val="003B29D2"/>
    <w:rsid w:val="003B565C"/>
    <w:rsid w:val="003C0113"/>
    <w:rsid w:val="003D2558"/>
    <w:rsid w:val="003D2773"/>
    <w:rsid w:val="003D5513"/>
    <w:rsid w:val="003E24EB"/>
    <w:rsid w:val="003E37F4"/>
    <w:rsid w:val="00406F24"/>
    <w:rsid w:val="0041014A"/>
    <w:rsid w:val="004130F1"/>
    <w:rsid w:val="004152D5"/>
    <w:rsid w:val="00416B8E"/>
    <w:rsid w:val="004223A8"/>
    <w:rsid w:val="00422994"/>
    <w:rsid w:val="004237B3"/>
    <w:rsid w:val="00425828"/>
    <w:rsid w:val="004268F5"/>
    <w:rsid w:val="00427CDD"/>
    <w:rsid w:val="004374D1"/>
    <w:rsid w:val="004435C6"/>
    <w:rsid w:val="0044432F"/>
    <w:rsid w:val="004448D6"/>
    <w:rsid w:val="00444C94"/>
    <w:rsid w:val="00450CA6"/>
    <w:rsid w:val="004524EF"/>
    <w:rsid w:val="004540E4"/>
    <w:rsid w:val="004549B4"/>
    <w:rsid w:val="00461ECB"/>
    <w:rsid w:val="004712F0"/>
    <w:rsid w:val="00476089"/>
    <w:rsid w:val="004A0A4A"/>
    <w:rsid w:val="004A4074"/>
    <w:rsid w:val="004A76F5"/>
    <w:rsid w:val="004C40D1"/>
    <w:rsid w:val="004C4897"/>
    <w:rsid w:val="004C5B8B"/>
    <w:rsid w:val="004D503E"/>
    <w:rsid w:val="004E3778"/>
    <w:rsid w:val="004F6BD6"/>
    <w:rsid w:val="005003F6"/>
    <w:rsid w:val="0050304F"/>
    <w:rsid w:val="00505B33"/>
    <w:rsid w:val="0051027F"/>
    <w:rsid w:val="0051127D"/>
    <w:rsid w:val="00520017"/>
    <w:rsid w:val="00527719"/>
    <w:rsid w:val="00530FA9"/>
    <w:rsid w:val="005423F1"/>
    <w:rsid w:val="00552F44"/>
    <w:rsid w:val="00556F7E"/>
    <w:rsid w:val="00557184"/>
    <w:rsid w:val="0055738B"/>
    <w:rsid w:val="0056385B"/>
    <w:rsid w:val="0057039E"/>
    <w:rsid w:val="00580222"/>
    <w:rsid w:val="005845A1"/>
    <w:rsid w:val="005B586C"/>
    <w:rsid w:val="005B76EA"/>
    <w:rsid w:val="005C3A23"/>
    <w:rsid w:val="005D0E39"/>
    <w:rsid w:val="005E1C0D"/>
    <w:rsid w:val="005E3EA7"/>
    <w:rsid w:val="005E77DC"/>
    <w:rsid w:val="005E7BEC"/>
    <w:rsid w:val="005F0FE2"/>
    <w:rsid w:val="005F2AC5"/>
    <w:rsid w:val="005F7189"/>
    <w:rsid w:val="0060201B"/>
    <w:rsid w:val="00604C9A"/>
    <w:rsid w:val="006255E1"/>
    <w:rsid w:val="00634AB0"/>
    <w:rsid w:val="00655078"/>
    <w:rsid w:val="0068411B"/>
    <w:rsid w:val="0069063B"/>
    <w:rsid w:val="00691336"/>
    <w:rsid w:val="00692FEC"/>
    <w:rsid w:val="00695DCB"/>
    <w:rsid w:val="006A5670"/>
    <w:rsid w:val="006B0646"/>
    <w:rsid w:val="006C726C"/>
    <w:rsid w:val="006C7D41"/>
    <w:rsid w:val="006D0ABB"/>
    <w:rsid w:val="006E3804"/>
    <w:rsid w:val="006E51CE"/>
    <w:rsid w:val="006E566B"/>
    <w:rsid w:val="006F1D70"/>
    <w:rsid w:val="006F2D7B"/>
    <w:rsid w:val="006F6DA8"/>
    <w:rsid w:val="006F792C"/>
    <w:rsid w:val="00703EAA"/>
    <w:rsid w:val="007105CB"/>
    <w:rsid w:val="00716B8E"/>
    <w:rsid w:val="00720920"/>
    <w:rsid w:val="0072482C"/>
    <w:rsid w:val="007307E1"/>
    <w:rsid w:val="00732142"/>
    <w:rsid w:val="00737D3D"/>
    <w:rsid w:val="00744E3F"/>
    <w:rsid w:val="007574CE"/>
    <w:rsid w:val="00764B07"/>
    <w:rsid w:val="00765003"/>
    <w:rsid w:val="0077311F"/>
    <w:rsid w:val="00776282"/>
    <w:rsid w:val="00783A0E"/>
    <w:rsid w:val="007913BF"/>
    <w:rsid w:val="00793075"/>
    <w:rsid w:val="00794790"/>
    <w:rsid w:val="007B312E"/>
    <w:rsid w:val="007C0870"/>
    <w:rsid w:val="007C35CF"/>
    <w:rsid w:val="007E0201"/>
    <w:rsid w:val="007E1598"/>
    <w:rsid w:val="007E3B64"/>
    <w:rsid w:val="007E5BEC"/>
    <w:rsid w:val="007E7E72"/>
    <w:rsid w:val="007F3432"/>
    <w:rsid w:val="007F69C7"/>
    <w:rsid w:val="00803EBE"/>
    <w:rsid w:val="00813BB7"/>
    <w:rsid w:val="008333F8"/>
    <w:rsid w:val="00833407"/>
    <w:rsid w:val="00836EE8"/>
    <w:rsid w:val="0085262A"/>
    <w:rsid w:val="00852BE8"/>
    <w:rsid w:val="00855A0F"/>
    <w:rsid w:val="00855A2F"/>
    <w:rsid w:val="00856CD0"/>
    <w:rsid w:val="00864D37"/>
    <w:rsid w:val="00873222"/>
    <w:rsid w:val="00873290"/>
    <w:rsid w:val="008749C4"/>
    <w:rsid w:val="0088199B"/>
    <w:rsid w:val="00882FCD"/>
    <w:rsid w:val="00883ACF"/>
    <w:rsid w:val="008927DB"/>
    <w:rsid w:val="008A09AD"/>
    <w:rsid w:val="008B3EF2"/>
    <w:rsid w:val="008B41E4"/>
    <w:rsid w:val="008C5ED9"/>
    <w:rsid w:val="008E389E"/>
    <w:rsid w:val="00900EE5"/>
    <w:rsid w:val="009031EC"/>
    <w:rsid w:val="00907617"/>
    <w:rsid w:val="0091116D"/>
    <w:rsid w:val="0091423A"/>
    <w:rsid w:val="0093351D"/>
    <w:rsid w:val="00944326"/>
    <w:rsid w:val="009644BF"/>
    <w:rsid w:val="0096798E"/>
    <w:rsid w:val="0097273C"/>
    <w:rsid w:val="00975A5D"/>
    <w:rsid w:val="00990A5F"/>
    <w:rsid w:val="00995860"/>
    <w:rsid w:val="009A7AAB"/>
    <w:rsid w:val="009B0B9D"/>
    <w:rsid w:val="009B11FA"/>
    <w:rsid w:val="009C3DE6"/>
    <w:rsid w:val="009C47DB"/>
    <w:rsid w:val="009C5818"/>
    <w:rsid w:val="009E2C3C"/>
    <w:rsid w:val="00A21384"/>
    <w:rsid w:val="00A2207F"/>
    <w:rsid w:val="00A34855"/>
    <w:rsid w:val="00A60E8E"/>
    <w:rsid w:val="00A75C94"/>
    <w:rsid w:val="00A7778E"/>
    <w:rsid w:val="00A94A2E"/>
    <w:rsid w:val="00AB2248"/>
    <w:rsid w:val="00AB2987"/>
    <w:rsid w:val="00AB62B1"/>
    <w:rsid w:val="00AC0548"/>
    <w:rsid w:val="00AC1F15"/>
    <w:rsid w:val="00AC7955"/>
    <w:rsid w:val="00AD17D0"/>
    <w:rsid w:val="00AD568E"/>
    <w:rsid w:val="00AE677B"/>
    <w:rsid w:val="00AF3A39"/>
    <w:rsid w:val="00B01DCF"/>
    <w:rsid w:val="00B02B4C"/>
    <w:rsid w:val="00B15545"/>
    <w:rsid w:val="00B15B95"/>
    <w:rsid w:val="00B1730B"/>
    <w:rsid w:val="00B27D84"/>
    <w:rsid w:val="00B3416F"/>
    <w:rsid w:val="00B34421"/>
    <w:rsid w:val="00B37F63"/>
    <w:rsid w:val="00B4093D"/>
    <w:rsid w:val="00B41BE6"/>
    <w:rsid w:val="00B44BEF"/>
    <w:rsid w:val="00B51E9C"/>
    <w:rsid w:val="00B52948"/>
    <w:rsid w:val="00B54907"/>
    <w:rsid w:val="00B5564B"/>
    <w:rsid w:val="00B637F0"/>
    <w:rsid w:val="00B646CC"/>
    <w:rsid w:val="00B653A2"/>
    <w:rsid w:val="00B67A48"/>
    <w:rsid w:val="00B71420"/>
    <w:rsid w:val="00B71D0D"/>
    <w:rsid w:val="00B746EA"/>
    <w:rsid w:val="00B857D5"/>
    <w:rsid w:val="00B85BEE"/>
    <w:rsid w:val="00B95E6F"/>
    <w:rsid w:val="00BB27F7"/>
    <w:rsid w:val="00BC272F"/>
    <w:rsid w:val="00BC5A69"/>
    <w:rsid w:val="00BD0AD6"/>
    <w:rsid w:val="00BD11BC"/>
    <w:rsid w:val="00BD2248"/>
    <w:rsid w:val="00BE5822"/>
    <w:rsid w:val="00BF0AED"/>
    <w:rsid w:val="00BF5B3B"/>
    <w:rsid w:val="00BF74B7"/>
    <w:rsid w:val="00BF74C6"/>
    <w:rsid w:val="00C0229B"/>
    <w:rsid w:val="00C03D08"/>
    <w:rsid w:val="00C2084A"/>
    <w:rsid w:val="00C227D6"/>
    <w:rsid w:val="00C2595E"/>
    <w:rsid w:val="00C35C46"/>
    <w:rsid w:val="00C47723"/>
    <w:rsid w:val="00C56277"/>
    <w:rsid w:val="00C5682A"/>
    <w:rsid w:val="00C607EE"/>
    <w:rsid w:val="00C60E59"/>
    <w:rsid w:val="00C77D73"/>
    <w:rsid w:val="00C834C9"/>
    <w:rsid w:val="00C90D6E"/>
    <w:rsid w:val="00C9234F"/>
    <w:rsid w:val="00C93164"/>
    <w:rsid w:val="00C942CB"/>
    <w:rsid w:val="00C96523"/>
    <w:rsid w:val="00CA0CBC"/>
    <w:rsid w:val="00CA0CD2"/>
    <w:rsid w:val="00CA4263"/>
    <w:rsid w:val="00CA621E"/>
    <w:rsid w:val="00CB0623"/>
    <w:rsid w:val="00CB4008"/>
    <w:rsid w:val="00CB68B7"/>
    <w:rsid w:val="00CB6FFC"/>
    <w:rsid w:val="00CD24CE"/>
    <w:rsid w:val="00CD3782"/>
    <w:rsid w:val="00CE0156"/>
    <w:rsid w:val="00CE1007"/>
    <w:rsid w:val="00CF0B7F"/>
    <w:rsid w:val="00CF192F"/>
    <w:rsid w:val="00CF2522"/>
    <w:rsid w:val="00CF490F"/>
    <w:rsid w:val="00CF722A"/>
    <w:rsid w:val="00D12E6B"/>
    <w:rsid w:val="00D132B8"/>
    <w:rsid w:val="00D14202"/>
    <w:rsid w:val="00D174E5"/>
    <w:rsid w:val="00D43CB3"/>
    <w:rsid w:val="00D454EF"/>
    <w:rsid w:val="00D560DC"/>
    <w:rsid w:val="00D753D3"/>
    <w:rsid w:val="00D949D6"/>
    <w:rsid w:val="00DA2A2E"/>
    <w:rsid w:val="00DA48C2"/>
    <w:rsid w:val="00DA4F1C"/>
    <w:rsid w:val="00DB05F0"/>
    <w:rsid w:val="00DB2E68"/>
    <w:rsid w:val="00DC20FA"/>
    <w:rsid w:val="00DC3BAA"/>
    <w:rsid w:val="00DD0704"/>
    <w:rsid w:val="00DD7B2D"/>
    <w:rsid w:val="00DE25CA"/>
    <w:rsid w:val="00DF4280"/>
    <w:rsid w:val="00E049D5"/>
    <w:rsid w:val="00E14CCB"/>
    <w:rsid w:val="00E22779"/>
    <w:rsid w:val="00E22A62"/>
    <w:rsid w:val="00E33D09"/>
    <w:rsid w:val="00E35119"/>
    <w:rsid w:val="00E44A05"/>
    <w:rsid w:val="00E4635A"/>
    <w:rsid w:val="00E60376"/>
    <w:rsid w:val="00E84C58"/>
    <w:rsid w:val="00E84FB0"/>
    <w:rsid w:val="00E90189"/>
    <w:rsid w:val="00E963C8"/>
    <w:rsid w:val="00E96661"/>
    <w:rsid w:val="00EA01DF"/>
    <w:rsid w:val="00EB3A46"/>
    <w:rsid w:val="00EC49CA"/>
    <w:rsid w:val="00EC55EE"/>
    <w:rsid w:val="00EC67C4"/>
    <w:rsid w:val="00ED2B68"/>
    <w:rsid w:val="00ED4E05"/>
    <w:rsid w:val="00ED5D74"/>
    <w:rsid w:val="00ED7E0A"/>
    <w:rsid w:val="00EE2BE9"/>
    <w:rsid w:val="00EE4C07"/>
    <w:rsid w:val="00EF169A"/>
    <w:rsid w:val="00F13470"/>
    <w:rsid w:val="00F27759"/>
    <w:rsid w:val="00F41A50"/>
    <w:rsid w:val="00F41DFD"/>
    <w:rsid w:val="00F446AB"/>
    <w:rsid w:val="00F50D96"/>
    <w:rsid w:val="00F57CA6"/>
    <w:rsid w:val="00F57DAE"/>
    <w:rsid w:val="00F600A6"/>
    <w:rsid w:val="00F63C83"/>
    <w:rsid w:val="00F66560"/>
    <w:rsid w:val="00F708E4"/>
    <w:rsid w:val="00F76B78"/>
    <w:rsid w:val="00F87BA1"/>
    <w:rsid w:val="00FA1BA1"/>
    <w:rsid w:val="00FA408B"/>
    <w:rsid w:val="00FB49FA"/>
    <w:rsid w:val="00FC23C8"/>
    <w:rsid w:val="00FC346F"/>
    <w:rsid w:val="00FC780E"/>
    <w:rsid w:val="00FD4FBA"/>
    <w:rsid w:val="00FE4C3F"/>
    <w:rsid w:val="00FE7249"/>
    <w:rsid w:val="00FE789D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paragraph" w:customStyle="1" w:styleId="Default">
    <w:name w:val="Default"/>
    <w:rsid w:val="00911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79F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5A5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5E7BEC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xxmsonormal">
    <w:name w:val="x_x_x_x_x_msonormal"/>
    <w:basedOn w:val="Normal"/>
    <w:rsid w:val="00A7778E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B4093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me-email-text">
    <w:name w:val="me-email-text"/>
    <w:basedOn w:val="DefaultParagraphFont"/>
    <w:rsid w:val="00EC49CA"/>
  </w:style>
  <w:style w:type="character" w:customStyle="1" w:styleId="me-email-text-secondary">
    <w:name w:val="me-email-text-secondary"/>
    <w:basedOn w:val="DefaultParagraphFont"/>
    <w:rsid w:val="00EC49CA"/>
  </w:style>
  <w:style w:type="paragraph" w:styleId="Revision">
    <w:name w:val="Revision"/>
    <w:hidden/>
    <w:uiPriority w:val="99"/>
    <w:semiHidden/>
    <w:rsid w:val="00C22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ap/t-59584e83/?url=https%3A%2F%2Fteams.microsoft.com%2Fl%2Fmeetup-join%2F19%253ameeting_NGM0Mzk4Y2UtODFmYi00YmExLTk4MzUtMzJhNTdhZjIzYWE2%2540thread.v2%2F0%3Fcontext%3D%257b%2522Tid%2522%253a%252299193c61-658d-4076-952f-07c345a3be97%2522%252c%2522Oid%2522%253a%2522222fe0e4-f0cf-41b8-aafb-4062a76e583d%2522%257d&amp;data=05%7C02%7CAlwyn.Fortune%40rpharms.com%7C3a6981a5a33244fcec4208dd8e45f377%7C99193c61658d4076952f07c345a3be97%7C0%7C0%7C638823153263629739%7CUnknown%7CTWFpbGZsb3d8eyJFbXB0eU1hcGkiOnRydWUsIlYiOiIwLjAuMDAwMCIsIlAiOiJXaW4zMiIsIkFOIjoiTWFpbCIsIldUIjoyfQ%3D%3D%7C0%7C%7C%7C&amp;sdata=z0uWCN2V7C8TeSaq45vTTsqptMYnavQEKxhAdxDoHgQ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aka.ms%2FJoinTeamsMeeting%3Fomkt%3Den-US&amp;data=05%7C02%7CAlwyn.Fortune%40rpharms.com%7C3a6981a5a33244fcec4208dd8e45f377%7C99193c61658d4076952f07c345a3be97%7C0%7C0%7C638823153263605727%7CUnknown%7CTWFpbGZsb3d8eyJFbXB0eU1hcGkiOnRydWUsIlYiOiIwLjAuMDAwMCIsIlAiOiJXaW4zMiIsIkFOIjoiTWFpbCIsIldUIjoyfQ%3D%3D%7C0%7C%7C%7C&amp;sdata=sc4fWTQ86t7SomYAqttM7X%2BpbraM2%2Bb6PmuQL8txhR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1328</Words>
  <Characters>7677</Characters>
  <Application>Microsoft Office Word</Application>
  <DocSecurity>4</DocSecurity>
  <Lines>159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Alwyn Fortune</cp:lastModifiedBy>
  <cp:revision>2</cp:revision>
  <cp:lastPrinted>2022-11-21T14:51:00Z</cp:lastPrinted>
  <dcterms:created xsi:type="dcterms:W3CDTF">2025-05-27T09:03:00Z</dcterms:created>
  <dcterms:modified xsi:type="dcterms:W3CDTF">2025-05-27T09:03:00Z</dcterms:modified>
</cp:coreProperties>
</file>