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0B4AD" w14:textId="4587726C" w:rsidR="004130F1" w:rsidRPr="004130F1" w:rsidRDefault="005B586C" w:rsidP="004130F1">
      <w:pPr>
        <w:pStyle w:val="Heading1"/>
        <w:rPr>
          <w:b/>
          <w:bCs/>
        </w:rPr>
      </w:pPr>
      <w:r>
        <w:rPr>
          <w:b/>
          <w:bCs/>
        </w:rPr>
        <w:t xml:space="preserve">Community </w:t>
      </w:r>
      <w:r w:rsidR="00552F44">
        <w:rPr>
          <w:b/>
          <w:bCs/>
        </w:rPr>
        <w:t>Pharmacy</w:t>
      </w:r>
      <w:r w:rsidR="00C834C9">
        <w:rPr>
          <w:b/>
          <w:bCs/>
        </w:rPr>
        <w:t xml:space="preserve"> </w:t>
      </w:r>
      <w:r w:rsidR="004130F1">
        <w:rPr>
          <w:b/>
          <w:bCs/>
        </w:rPr>
        <w:t xml:space="preserve">Expert Advisory Group </w:t>
      </w:r>
      <w:r w:rsidR="00C834C9">
        <w:rPr>
          <w:b/>
          <w:bCs/>
        </w:rPr>
        <w:t>Agenda</w:t>
      </w:r>
    </w:p>
    <w:p w14:paraId="0323961B" w14:textId="3D85BF31" w:rsidR="006255E1" w:rsidRDefault="00372DFA" w:rsidP="005B586C">
      <w:pPr>
        <w:spacing w:after="0"/>
        <w:rPr>
          <w:b/>
          <w:bCs/>
          <w:sz w:val="28"/>
          <w:szCs w:val="28"/>
        </w:rPr>
      </w:pPr>
      <w:r>
        <w:rPr>
          <w:b/>
          <w:bCs/>
          <w:sz w:val="28"/>
          <w:szCs w:val="28"/>
        </w:rPr>
        <w:t xml:space="preserve">Monday </w:t>
      </w:r>
      <w:r w:rsidR="00F50D96">
        <w:rPr>
          <w:b/>
          <w:bCs/>
          <w:sz w:val="28"/>
          <w:szCs w:val="28"/>
        </w:rPr>
        <w:t>18</w:t>
      </w:r>
      <w:r w:rsidR="00F50D96" w:rsidRPr="00F50D96">
        <w:rPr>
          <w:b/>
          <w:bCs/>
          <w:sz w:val="28"/>
          <w:szCs w:val="28"/>
          <w:vertAlign w:val="superscript"/>
        </w:rPr>
        <w:t>th</w:t>
      </w:r>
      <w:r w:rsidR="00F50D96">
        <w:rPr>
          <w:b/>
          <w:bCs/>
          <w:sz w:val="28"/>
          <w:szCs w:val="28"/>
        </w:rPr>
        <w:t xml:space="preserve"> November </w:t>
      </w:r>
      <w:r>
        <w:rPr>
          <w:b/>
          <w:bCs/>
          <w:sz w:val="28"/>
          <w:szCs w:val="28"/>
        </w:rPr>
        <w:t>202</w:t>
      </w:r>
      <w:r w:rsidR="00372787">
        <w:rPr>
          <w:b/>
          <w:bCs/>
          <w:sz w:val="28"/>
          <w:szCs w:val="28"/>
        </w:rPr>
        <w:t>4</w:t>
      </w:r>
      <w:r w:rsidR="00B51E9C">
        <w:rPr>
          <w:b/>
          <w:bCs/>
          <w:sz w:val="28"/>
          <w:szCs w:val="28"/>
        </w:rPr>
        <w:t xml:space="preserve"> </w:t>
      </w:r>
      <w:r w:rsidR="004237B3">
        <w:rPr>
          <w:b/>
          <w:bCs/>
          <w:sz w:val="28"/>
          <w:szCs w:val="28"/>
        </w:rPr>
        <w:t>19.30 – 2</w:t>
      </w:r>
      <w:r w:rsidR="00900EE5">
        <w:rPr>
          <w:b/>
          <w:bCs/>
          <w:sz w:val="28"/>
          <w:szCs w:val="28"/>
        </w:rPr>
        <w:t>1</w:t>
      </w:r>
      <w:r w:rsidR="007307E1">
        <w:rPr>
          <w:b/>
          <w:bCs/>
          <w:sz w:val="28"/>
          <w:szCs w:val="28"/>
        </w:rPr>
        <w:t>.30</w:t>
      </w:r>
      <w:r w:rsidR="004237B3">
        <w:rPr>
          <w:b/>
          <w:bCs/>
          <w:sz w:val="28"/>
          <w:szCs w:val="28"/>
        </w:rPr>
        <w:t xml:space="preserve"> By</w:t>
      </w:r>
      <w:r w:rsidR="00F27759">
        <w:rPr>
          <w:b/>
          <w:bCs/>
          <w:sz w:val="28"/>
          <w:szCs w:val="28"/>
        </w:rPr>
        <w:t xml:space="preserve"> Zoom: </w:t>
      </w:r>
    </w:p>
    <w:p w14:paraId="06BDC11D" w14:textId="1EF88A0C" w:rsidR="00F27759" w:rsidRDefault="004540E4" w:rsidP="00F27759">
      <w:pPr>
        <w:spacing w:after="0"/>
      </w:pPr>
      <w:r>
        <w:rPr>
          <w:sz w:val="24"/>
          <w:szCs w:val="24"/>
        </w:rPr>
        <w:t>P</w:t>
      </w:r>
      <w:r w:rsidR="00F27759" w:rsidRPr="00FE789D">
        <w:rPr>
          <w:sz w:val="24"/>
          <w:szCs w:val="24"/>
        </w:rPr>
        <w:t xml:space="preserve">lease note you need a Zoom </w:t>
      </w:r>
      <w:r w:rsidR="00BE5822" w:rsidRPr="00FE789D">
        <w:rPr>
          <w:sz w:val="24"/>
          <w:szCs w:val="24"/>
        </w:rPr>
        <w:t>account to enter this meeting</w:t>
      </w:r>
      <w:r w:rsidR="00F27759" w:rsidRPr="00FE789D">
        <w:rPr>
          <w:sz w:val="24"/>
          <w:szCs w:val="24"/>
        </w:rPr>
        <w:t xml:space="preserve">. You can create a Zoom account for free at: </w:t>
      </w:r>
      <w:hyperlink r:id="rId7" w:history="1">
        <w:r w:rsidR="00F27759" w:rsidRPr="00FE789D">
          <w:rPr>
            <w:rStyle w:val="Hyperlink"/>
            <w:sz w:val="24"/>
            <w:szCs w:val="24"/>
          </w:rPr>
          <w:t>https://zoom.us/signup</w:t>
        </w:r>
      </w:hyperlink>
      <w:r w:rsidR="00F27759">
        <w:t xml:space="preserve"> </w:t>
      </w:r>
    </w:p>
    <w:p w14:paraId="7C4487AF" w14:textId="77777777" w:rsidR="00F50D96" w:rsidRDefault="00B51E9C" w:rsidP="00F50D96">
      <w:r w:rsidRPr="002D1B7D">
        <w:rPr>
          <w:rFonts w:cstheme="minorHAnsi"/>
          <w:sz w:val="28"/>
          <w:szCs w:val="28"/>
        </w:rPr>
        <w:t>Join Zoom Meeting</w:t>
      </w:r>
    </w:p>
    <w:p w14:paraId="1BACF590" w14:textId="0D86200C" w:rsidR="00EF169A" w:rsidRDefault="00F50D96" w:rsidP="00F50D96">
      <w:pPr>
        <w:rPr>
          <w:rFonts w:ascii="Arial" w:hAnsi="Arial" w:cs="Arial"/>
        </w:rPr>
      </w:pPr>
      <w:r>
        <w:rPr>
          <w:rFonts w:ascii="Arial" w:hAnsi="Arial" w:cs="Arial"/>
        </w:rPr>
        <w:t xml:space="preserve"> </w:t>
      </w:r>
      <w:hyperlink r:id="rId8" w:history="1">
        <w:r w:rsidRPr="00812332">
          <w:rPr>
            <w:rStyle w:val="Hyperlink"/>
            <w:rFonts w:ascii="Arial" w:hAnsi="Arial" w:cs="Arial"/>
          </w:rPr>
          <w:t>https://rpharms.zoom.us/j/99282825023?pwd=M1ZyNXJJbUx2Q25NOHpFTndhazU4UT09</w:t>
        </w:r>
      </w:hyperlink>
    </w:p>
    <w:p w14:paraId="671EF214" w14:textId="627BC7AA" w:rsidR="004130F1" w:rsidRPr="004130F1" w:rsidRDefault="0004414A" w:rsidP="004130F1">
      <w:pPr>
        <w:pStyle w:val="Heading2"/>
        <w:pBdr>
          <w:bottom w:val="single" w:sz="4" w:space="1" w:color="auto"/>
        </w:pBdr>
        <w:shd w:val="clear" w:color="auto" w:fill="DEEAF6" w:themeFill="accent5" w:themeFillTint="33"/>
        <w:rPr>
          <w:b/>
          <w:bCs/>
          <w:color w:val="000000" w:themeColor="text1"/>
        </w:rPr>
      </w:pPr>
      <w:r>
        <w:rPr>
          <w:b/>
          <w:bCs/>
          <w:color w:val="000000" w:themeColor="text1"/>
        </w:rPr>
        <w:t xml:space="preserve">1: </w:t>
      </w:r>
      <w:r w:rsidR="0093351D">
        <w:rPr>
          <w:b/>
          <w:bCs/>
          <w:color w:val="000000" w:themeColor="text1"/>
        </w:rPr>
        <w:t>Welcome</w:t>
      </w:r>
      <w:r w:rsidR="000C5A09">
        <w:rPr>
          <w:b/>
          <w:bCs/>
          <w:color w:val="000000" w:themeColor="text1"/>
        </w:rPr>
        <w:t>, Ap</w:t>
      </w:r>
      <w:r w:rsidR="007307E1">
        <w:rPr>
          <w:b/>
          <w:bCs/>
          <w:color w:val="000000" w:themeColor="text1"/>
        </w:rPr>
        <w:t xml:space="preserve">ologies and </w:t>
      </w:r>
      <w:r w:rsidR="0085262A">
        <w:rPr>
          <w:b/>
          <w:bCs/>
          <w:color w:val="000000" w:themeColor="text1"/>
        </w:rPr>
        <w:t>welcome Led</w:t>
      </w:r>
      <w:r w:rsidR="001E764A">
        <w:rPr>
          <w:b/>
          <w:bCs/>
          <w:color w:val="000000" w:themeColor="text1"/>
        </w:rPr>
        <w:t xml:space="preserve"> by Janice</w:t>
      </w:r>
      <w:r w:rsidR="006A5670">
        <w:rPr>
          <w:b/>
          <w:bCs/>
          <w:color w:val="000000" w:themeColor="text1"/>
        </w:rPr>
        <w:t xml:space="preserve"> </w:t>
      </w:r>
      <w:r w:rsidR="00F50D96">
        <w:rPr>
          <w:b/>
          <w:bCs/>
          <w:color w:val="000000" w:themeColor="text1"/>
        </w:rPr>
        <w:t>5 mins</w:t>
      </w:r>
    </w:p>
    <w:tbl>
      <w:tblPr>
        <w:tblStyle w:val="TableGrid"/>
        <w:tblW w:w="0" w:type="auto"/>
        <w:tblLook w:val="04A0" w:firstRow="1" w:lastRow="0" w:firstColumn="1" w:lastColumn="0" w:noHBand="0" w:noVBand="1"/>
      </w:tblPr>
      <w:tblGrid>
        <w:gridCol w:w="1271"/>
        <w:gridCol w:w="7745"/>
      </w:tblGrid>
      <w:tr w:rsidR="000A0C1D" w:rsidRPr="007C0870" w14:paraId="71C4A3D0" w14:textId="77777777">
        <w:trPr>
          <w:trHeight w:val="638"/>
        </w:trPr>
        <w:tc>
          <w:tcPr>
            <w:tcW w:w="1271" w:type="dxa"/>
          </w:tcPr>
          <w:p w14:paraId="57C66510" w14:textId="08194E1E" w:rsidR="000A0C1D" w:rsidRPr="004237B3" w:rsidRDefault="00372DFA">
            <w:pPr>
              <w:rPr>
                <w:b/>
                <w:bCs/>
              </w:rPr>
            </w:pPr>
            <w:r>
              <w:rPr>
                <w:b/>
                <w:bCs/>
              </w:rPr>
              <w:t>Description</w:t>
            </w:r>
          </w:p>
        </w:tc>
        <w:tc>
          <w:tcPr>
            <w:tcW w:w="7745" w:type="dxa"/>
          </w:tcPr>
          <w:p w14:paraId="711FF345" w14:textId="43C49885" w:rsidR="00FC780E" w:rsidRPr="007C0870" w:rsidRDefault="0085262A" w:rsidP="00FC780E">
            <w:r>
              <w:t>To welcome</w:t>
            </w:r>
            <w:r w:rsidR="003B565C">
              <w:t xml:space="preserve"> and note apologies.</w:t>
            </w:r>
            <w:r w:rsidR="003343B0">
              <w:t xml:space="preserve"> </w:t>
            </w:r>
          </w:p>
        </w:tc>
      </w:tr>
      <w:tr w:rsidR="000A0C1D" w:rsidRPr="000C7A2D" w14:paraId="3BE1B3B7" w14:textId="77777777">
        <w:trPr>
          <w:trHeight w:val="568"/>
        </w:trPr>
        <w:tc>
          <w:tcPr>
            <w:tcW w:w="1271" w:type="dxa"/>
          </w:tcPr>
          <w:p w14:paraId="1FCD453F" w14:textId="77777777" w:rsidR="000A0C1D" w:rsidRPr="004237B3" w:rsidRDefault="000A0C1D">
            <w:pPr>
              <w:rPr>
                <w:b/>
                <w:bCs/>
              </w:rPr>
            </w:pPr>
            <w:r w:rsidRPr="004237B3">
              <w:rPr>
                <w:b/>
                <w:bCs/>
              </w:rPr>
              <w:t>Outcomes</w:t>
            </w:r>
          </w:p>
        </w:tc>
        <w:tc>
          <w:tcPr>
            <w:tcW w:w="7745" w:type="dxa"/>
          </w:tcPr>
          <w:p w14:paraId="0C6F4FC6" w14:textId="5610EAA9" w:rsidR="000A0C1D" w:rsidRDefault="004B670D">
            <w:r>
              <w:t xml:space="preserve">The </w:t>
            </w:r>
            <w:r w:rsidR="00C612D4">
              <w:t>C</w:t>
            </w:r>
            <w:r>
              <w:t>hair welcomed all to the meeting.</w:t>
            </w:r>
          </w:p>
          <w:p w14:paraId="444D7FFE" w14:textId="69B7E289" w:rsidR="004B670D" w:rsidRDefault="004B670D">
            <w:r>
              <w:t>Notably guests Wing Tang, Head of Professional Standards, Rakhee Amin and Regina Ahmed from RPS Standards Team and Heidi Wright, Policy</w:t>
            </w:r>
            <w:r w:rsidR="00EA7C08">
              <w:t xml:space="preserve"> L</w:t>
            </w:r>
            <w:r>
              <w:t>ead for England.</w:t>
            </w:r>
          </w:p>
          <w:p w14:paraId="3A8AAD14" w14:textId="77777777" w:rsidR="004B670D" w:rsidRDefault="004B670D"/>
          <w:p w14:paraId="78F724E3" w14:textId="77777777" w:rsidR="004B670D" w:rsidRPr="002929D6" w:rsidRDefault="004B670D" w:rsidP="004B670D">
            <w:pPr>
              <w:rPr>
                <w:b/>
                <w:bCs/>
              </w:rPr>
            </w:pPr>
            <w:r w:rsidRPr="002929D6">
              <w:rPr>
                <w:b/>
                <w:bCs/>
              </w:rPr>
              <w:t>Attendees</w:t>
            </w:r>
          </w:p>
          <w:p w14:paraId="3C4F07BC" w14:textId="68995A98" w:rsidR="004B670D" w:rsidRDefault="004B670D" w:rsidP="004B670D">
            <w:r>
              <w:t>Janice Perkins Chair</w:t>
            </w:r>
          </w:p>
          <w:p w14:paraId="3EE88719" w14:textId="77777777" w:rsidR="004B670D" w:rsidRDefault="004B670D" w:rsidP="004B670D">
            <w:r>
              <w:t>Paul Jenks</w:t>
            </w:r>
          </w:p>
          <w:p w14:paraId="79938EB7" w14:textId="77777777" w:rsidR="004B670D" w:rsidRDefault="004B670D" w:rsidP="004B670D">
            <w:r>
              <w:t>Diane Robertson</w:t>
            </w:r>
          </w:p>
          <w:p w14:paraId="4C026E30" w14:textId="52EF0EE3" w:rsidR="004B670D" w:rsidRDefault="004B670D" w:rsidP="004B670D">
            <w:r>
              <w:t>Sarah Passmore</w:t>
            </w:r>
          </w:p>
          <w:p w14:paraId="144A05B3" w14:textId="77777777" w:rsidR="004B670D" w:rsidRDefault="004B670D" w:rsidP="004B670D">
            <w:r>
              <w:t>Jonathan Smith</w:t>
            </w:r>
          </w:p>
          <w:p w14:paraId="76C96AD5" w14:textId="77777777" w:rsidR="004B670D" w:rsidRDefault="004B670D" w:rsidP="004B670D">
            <w:r>
              <w:t>Waqas Ahmad</w:t>
            </w:r>
          </w:p>
          <w:p w14:paraId="6ECBAB2A" w14:textId="77777777" w:rsidR="002929D6" w:rsidRDefault="004B670D" w:rsidP="002929D6">
            <w:r>
              <w:t>Liz Hallett</w:t>
            </w:r>
            <w:r w:rsidR="002929D6">
              <w:tab/>
            </w:r>
          </w:p>
          <w:p w14:paraId="30BA35F4" w14:textId="1672661E" w:rsidR="004B670D" w:rsidRDefault="002929D6" w:rsidP="002929D6">
            <w:r>
              <w:t>Alwyn Fortune</w:t>
            </w:r>
          </w:p>
          <w:p w14:paraId="2E5C23BC" w14:textId="3C500503" w:rsidR="002929D6" w:rsidRDefault="002929D6" w:rsidP="002929D6">
            <w:r>
              <w:t>Cath Ward</w:t>
            </w:r>
          </w:p>
          <w:p w14:paraId="0F372324" w14:textId="77777777" w:rsidR="002929D6" w:rsidRDefault="002929D6" w:rsidP="004B670D">
            <w:pPr>
              <w:rPr>
                <w:b/>
                <w:bCs/>
              </w:rPr>
            </w:pPr>
          </w:p>
          <w:p w14:paraId="72B48D6E" w14:textId="64DD0C8B" w:rsidR="004B670D" w:rsidRDefault="004B670D" w:rsidP="004B670D">
            <w:pPr>
              <w:rPr>
                <w:b/>
                <w:bCs/>
              </w:rPr>
            </w:pPr>
            <w:r w:rsidRPr="002B234B">
              <w:rPr>
                <w:b/>
                <w:bCs/>
              </w:rPr>
              <w:t xml:space="preserve">Apologies </w:t>
            </w:r>
          </w:p>
          <w:p w14:paraId="13A2B338" w14:textId="77777777" w:rsidR="004B670D" w:rsidRDefault="004B670D" w:rsidP="004B670D">
            <w:r>
              <w:t>Patricia Ojo</w:t>
            </w:r>
          </w:p>
          <w:p w14:paraId="41413B48" w14:textId="390375BC" w:rsidR="004B670D" w:rsidRDefault="004B670D" w:rsidP="004B670D">
            <w:r>
              <w:t>Nick Thayer</w:t>
            </w:r>
          </w:p>
          <w:p w14:paraId="63C2215D" w14:textId="77777777" w:rsidR="004B670D" w:rsidRDefault="004B670D" w:rsidP="004B670D">
            <w:r>
              <w:t>Sobia Janjua</w:t>
            </w:r>
          </w:p>
          <w:p w14:paraId="2986EB91" w14:textId="77777777" w:rsidR="004B670D" w:rsidRDefault="004B670D" w:rsidP="004B670D">
            <w:r>
              <w:t>Brendan Jang</w:t>
            </w:r>
          </w:p>
          <w:p w14:paraId="20E63DE8" w14:textId="381B0577" w:rsidR="004B670D" w:rsidRPr="000C7A2D" w:rsidRDefault="004B670D"/>
        </w:tc>
      </w:tr>
    </w:tbl>
    <w:p w14:paraId="1F753B5D" w14:textId="4FB03F27" w:rsidR="00CA621E" w:rsidRDefault="00CA621E" w:rsidP="00CA621E">
      <w:pPr>
        <w:pStyle w:val="PlainText"/>
      </w:pPr>
    </w:p>
    <w:p w14:paraId="6841180E" w14:textId="77777777" w:rsidR="00F57DAE" w:rsidRDefault="00F57DAE" w:rsidP="00CA621E">
      <w:pPr>
        <w:pStyle w:val="PlainText"/>
      </w:pPr>
    </w:p>
    <w:p w14:paraId="7C4C5603" w14:textId="1DF387D9" w:rsidR="00F57DAE" w:rsidRDefault="00E34166" w:rsidP="00E34166">
      <w:pPr>
        <w:pStyle w:val="PlainText"/>
        <w:tabs>
          <w:tab w:val="left" w:pos="1390"/>
        </w:tabs>
      </w:pPr>
      <w:r>
        <w:tab/>
      </w:r>
    </w:p>
    <w:p w14:paraId="715A8520" w14:textId="4E7A9B01" w:rsidR="00695DCB" w:rsidRDefault="00695DCB" w:rsidP="00F50D96">
      <w:pPr>
        <w:pStyle w:val="Heading2"/>
        <w:pBdr>
          <w:bottom w:val="single" w:sz="4" w:space="1" w:color="auto"/>
        </w:pBdr>
        <w:shd w:val="clear" w:color="auto" w:fill="DEEAF6" w:themeFill="accent5" w:themeFillTint="33"/>
        <w:tabs>
          <w:tab w:val="left" w:pos="5430"/>
        </w:tabs>
        <w:rPr>
          <w:b/>
          <w:bCs/>
          <w:color w:val="000000" w:themeColor="text1"/>
        </w:rPr>
      </w:pPr>
      <w:r>
        <w:rPr>
          <w:b/>
          <w:bCs/>
          <w:color w:val="000000" w:themeColor="text1"/>
        </w:rPr>
        <w:t>2</w:t>
      </w:r>
      <w:r w:rsidR="000D6BCA">
        <w:rPr>
          <w:b/>
          <w:bCs/>
          <w:color w:val="000000" w:themeColor="text1"/>
        </w:rPr>
        <w:t>:</w:t>
      </w:r>
      <w:r w:rsidR="00655078">
        <w:rPr>
          <w:b/>
          <w:bCs/>
          <w:color w:val="000000" w:themeColor="text1"/>
        </w:rPr>
        <w:t xml:space="preserve"> </w:t>
      </w:r>
      <w:r w:rsidR="00F50D96">
        <w:rPr>
          <w:b/>
          <w:bCs/>
          <w:color w:val="000000" w:themeColor="text1"/>
          <w:lang w:val="fr-FR"/>
        </w:rPr>
        <w:t xml:space="preserve">Législation and </w:t>
      </w:r>
      <w:commentRangeStart w:id="0"/>
      <w:r w:rsidR="00F50D96">
        <w:rPr>
          <w:b/>
          <w:bCs/>
          <w:color w:val="000000" w:themeColor="text1"/>
          <w:lang w:val="fr-FR"/>
        </w:rPr>
        <w:t>Régulations</w:t>
      </w:r>
      <w:commentRangeEnd w:id="0"/>
      <w:r w:rsidR="00321BA6">
        <w:rPr>
          <w:rStyle w:val="CommentReference"/>
          <w:rFonts w:asciiTheme="minorHAnsi" w:eastAsiaTheme="minorHAnsi" w:hAnsiTheme="minorHAnsi" w:cstheme="minorBidi"/>
          <w:color w:val="auto"/>
        </w:rPr>
        <w:commentReference w:id="0"/>
      </w:r>
      <w:r w:rsidR="00F50D96">
        <w:rPr>
          <w:b/>
          <w:bCs/>
          <w:color w:val="000000" w:themeColor="text1"/>
          <w:lang w:val="fr-FR"/>
        </w:rPr>
        <w:t xml:space="preserve"> - Led by Wing 30 mins</w:t>
      </w:r>
    </w:p>
    <w:tbl>
      <w:tblPr>
        <w:tblStyle w:val="TableGrid"/>
        <w:tblW w:w="0" w:type="auto"/>
        <w:tblLook w:val="04A0" w:firstRow="1" w:lastRow="0" w:firstColumn="1" w:lastColumn="0" w:noHBand="0" w:noVBand="1"/>
      </w:tblPr>
      <w:tblGrid>
        <w:gridCol w:w="1271"/>
        <w:gridCol w:w="7745"/>
      </w:tblGrid>
      <w:tr w:rsidR="00695DCB" w:rsidRPr="007C0870" w14:paraId="3C141D40" w14:textId="77777777">
        <w:trPr>
          <w:trHeight w:val="638"/>
        </w:trPr>
        <w:tc>
          <w:tcPr>
            <w:tcW w:w="1271" w:type="dxa"/>
          </w:tcPr>
          <w:p w14:paraId="38B207C6" w14:textId="14E9DA0C" w:rsidR="00695DCB" w:rsidRPr="004237B3" w:rsidRDefault="00372DFA">
            <w:pPr>
              <w:rPr>
                <w:b/>
                <w:bCs/>
              </w:rPr>
            </w:pPr>
            <w:r>
              <w:rPr>
                <w:b/>
                <w:bCs/>
              </w:rPr>
              <w:t>Description</w:t>
            </w:r>
          </w:p>
        </w:tc>
        <w:tc>
          <w:tcPr>
            <w:tcW w:w="7745" w:type="dxa"/>
          </w:tcPr>
          <w:p w14:paraId="47769BB2" w14:textId="1BAC2FEC" w:rsidR="00B4093D" w:rsidRDefault="00F50D96" w:rsidP="00372DFA">
            <w:r>
              <w:t>Hub and Spoke changes</w:t>
            </w:r>
          </w:p>
          <w:p w14:paraId="079341B1" w14:textId="0B1A7FAB" w:rsidR="00F50D96" w:rsidRDefault="00F50D96" w:rsidP="00372DFA">
            <w:r>
              <w:t>O</w:t>
            </w:r>
            <w:r w:rsidR="00E34166">
              <w:t>riginal Pack Dispensing changes</w:t>
            </w:r>
          </w:p>
          <w:p w14:paraId="24583FD6" w14:textId="30756915" w:rsidR="00F50D96" w:rsidRDefault="00F50D96" w:rsidP="00372DFA">
            <w:r>
              <w:t>Supervision changes</w:t>
            </w:r>
          </w:p>
          <w:p w14:paraId="2889732C" w14:textId="2879B494" w:rsidR="000E4BB0" w:rsidRPr="005E7BEC" w:rsidRDefault="000E4BB0" w:rsidP="00372DFA">
            <w:pPr>
              <w:rPr>
                <w:rFonts w:ascii="Calibri" w:hAnsi="Calibri" w:cs="Calibri"/>
              </w:rPr>
            </w:pPr>
          </w:p>
        </w:tc>
      </w:tr>
      <w:tr w:rsidR="00372DFA" w:rsidRPr="007C0870" w14:paraId="2193CDEF" w14:textId="77777777">
        <w:trPr>
          <w:trHeight w:val="638"/>
        </w:trPr>
        <w:tc>
          <w:tcPr>
            <w:tcW w:w="1271" w:type="dxa"/>
          </w:tcPr>
          <w:p w14:paraId="6F042E4C" w14:textId="31852480" w:rsidR="00372DFA" w:rsidRPr="004237B3" w:rsidRDefault="00372DFA">
            <w:pPr>
              <w:rPr>
                <w:b/>
                <w:bCs/>
              </w:rPr>
            </w:pPr>
            <w:r>
              <w:rPr>
                <w:b/>
                <w:bCs/>
              </w:rPr>
              <w:t>Purpose</w:t>
            </w:r>
          </w:p>
        </w:tc>
        <w:tc>
          <w:tcPr>
            <w:tcW w:w="7745" w:type="dxa"/>
          </w:tcPr>
          <w:p w14:paraId="0E7109DB" w14:textId="514BCC1B" w:rsidR="00372DFA" w:rsidRPr="00854AC4" w:rsidRDefault="00F50D96" w:rsidP="002929D6">
            <w:r>
              <w:t xml:space="preserve">To gain CPEAG insights around legislation and regulation </w:t>
            </w:r>
            <w:r w:rsidR="004B670D">
              <w:t>changes -</w:t>
            </w:r>
            <w:r>
              <w:t xml:space="preserve"> Hub and Spoke OPD and Supervision changes</w:t>
            </w:r>
          </w:p>
        </w:tc>
      </w:tr>
      <w:tr w:rsidR="00695DCB" w:rsidRPr="000C7A2D" w14:paraId="4B2CE51A" w14:textId="77777777">
        <w:trPr>
          <w:trHeight w:val="568"/>
        </w:trPr>
        <w:tc>
          <w:tcPr>
            <w:tcW w:w="1271" w:type="dxa"/>
          </w:tcPr>
          <w:p w14:paraId="6AB2F7EA" w14:textId="77777777" w:rsidR="00695DCB" w:rsidRPr="004237B3" w:rsidRDefault="00695DCB">
            <w:pPr>
              <w:rPr>
                <w:b/>
                <w:bCs/>
              </w:rPr>
            </w:pPr>
            <w:r w:rsidRPr="004237B3">
              <w:rPr>
                <w:b/>
                <w:bCs/>
              </w:rPr>
              <w:t>Outcomes</w:t>
            </w:r>
          </w:p>
        </w:tc>
        <w:tc>
          <w:tcPr>
            <w:tcW w:w="7745" w:type="dxa"/>
          </w:tcPr>
          <w:p w14:paraId="102C2944" w14:textId="77777777" w:rsidR="00C612D4" w:rsidRPr="00C612D4" w:rsidRDefault="00C612D4" w:rsidP="00C612D4">
            <w:pPr>
              <w:rPr>
                <w:rFonts w:cstheme="minorHAnsi"/>
              </w:rPr>
            </w:pPr>
            <w:r w:rsidRPr="00C612D4">
              <w:rPr>
                <w:rFonts w:cstheme="minorHAnsi"/>
              </w:rPr>
              <w:t xml:space="preserve">WT and the RPS standards and guidance team consulted CPEAG for their advice around the need for professional guidance to support changes in legislation and regulation. </w:t>
            </w:r>
          </w:p>
          <w:p w14:paraId="3C0E1CCE" w14:textId="77777777" w:rsidR="00C612D4" w:rsidRPr="00C612D4" w:rsidRDefault="00C612D4" w:rsidP="00C612D4">
            <w:pPr>
              <w:rPr>
                <w:rFonts w:cstheme="minorHAnsi"/>
                <w:b/>
                <w:bCs/>
              </w:rPr>
            </w:pPr>
            <w:r w:rsidRPr="00C612D4">
              <w:rPr>
                <w:rFonts w:cstheme="minorHAnsi"/>
                <w:b/>
                <w:bCs/>
              </w:rPr>
              <w:t xml:space="preserve">Hub and Spoke: </w:t>
            </w:r>
          </w:p>
          <w:p w14:paraId="0473EB33" w14:textId="77777777" w:rsidR="00C612D4" w:rsidRPr="00C612D4" w:rsidRDefault="00C612D4" w:rsidP="00C612D4">
            <w:pPr>
              <w:rPr>
                <w:rFonts w:cstheme="minorHAnsi"/>
              </w:rPr>
            </w:pPr>
            <w:r w:rsidRPr="00C612D4">
              <w:rPr>
                <w:rFonts w:cstheme="minorHAnsi"/>
              </w:rPr>
              <w:t xml:space="preserve">CPEAG advised to hold on developing guidance for Hub and Spoke, recommending revisiting the topic when more intelligence becomes available. </w:t>
            </w:r>
          </w:p>
          <w:p w14:paraId="5CA7CE31" w14:textId="77777777" w:rsidR="00C612D4" w:rsidRPr="00C612D4" w:rsidRDefault="00C612D4" w:rsidP="00C612D4">
            <w:pPr>
              <w:rPr>
                <w:rFonts w:cstheme="minorHAnsi"/>
              </w:rPr>
            </w:pPr>
            <w:r w:rsidRPr="00C612D4">
              <w:rPr>
                <w:rFonts w:cstheme="minorHAnsi"/>
                <w:b/>
                <w:bCs/>
              </w:rPr>
              <w:lastRenderedPageBreak/>
              <w:t xml:space="preserve">Original pack dispensing: </w:t>
            </w:r>
          </w:p>
          <w:p w14:paraId="48BCCC0A" w14:textId="35A32899" w:rsidR="00C612D4" w:rsidRDefault="00C612D4" w:rsidP="00C612D4">
            <w:pPr>
              <w:rPr>
                <w:rFonts w:cstheme="minorHAnsi"/>
              </w:rPr>
            </w:pPr>
            <w:r w:rsidRPr="00C612D4">
              <w:rPr>
                <w:rFonts w:cstheme="minorHAnsi"/>
              </w:rPr>
              <w:t xml:space="preserve">CPEAG advised that there was value in RPS guidance covering the use of professional judgement, considerations to think through, challenging scenarios e.g. medicines out-of-sync or paying patients feeling </w:t>
            </w:r>
            <w:r w:rsidR="00825D93">
              <w:rPr>
                <w:rFonts w:cstheme="minorHAnsi"/>
              </w:rPr>
              <w:t>‘</w:t>
            </w:r>
            <w:r w:rsidRPr="00C612D4">
              <w:rPr>
                <w:rFonts w:cstheme="minorHAnsi"/>
              </w:rPr>
              <w:t>cheated</w:t>
            </w:r>
            <w:r w:rsidR="00825D93">
              <w:rPr>
                <w:rFonts w:cstheme="minorHAnsi"/>
              </w:rPr>
              <w:t xml:space="preserve">’ </w:t>
            </w:r>
            <w:r w:rsidRPr="00C612D4">
              <w:rPr>
                <w:rFonts w:cstheme="minorHAnsi"/>
              </w:rPr>
              <w:t xml:space="preserve">and to consider the existing model in Scotland. </w:t>
            </w:r>
          </w:p>
          <w:p w14:paraId="7C7587B3" w14:textId="77777777" w:rsidR="00C612D4" w:rsidRPr="00C612D4" w:rsidRDefault="00C612D4" w:rsidP="00C612D4">
            <w:pPr>
              <w:rPr>
                <w:rFonts w:cstheme="minorHAnsi"/>
              </w:rPr>
            </w:pPr>
          </w:p>
          <w:p w14:paraId="0DEC7207" w14:textId="77777777" w:rsidR="00C612D4" w:rsidRPr="00C612D4" w:rsidRDefault="00C612D4" w:rsidP="00C612D4">
            <w:pPr>
              <w:rPr>
                <w:rFonts w:cstheme="minorHAnsi"/>
              </w:rPr>
            </w:pPr>
            <w:r w:rsidRPr="00C612D4">
              <w:rPr>
                <w:rFonts w:cstheme="minorHAnsi"/>
              </w:rPr>
              <w:t>Next steps: RPS to produce some short guidance to support, testing with CPEAG as needed in advance of 1</w:t>
            </w:r>
            <w:r w:rsidRPr="00C612D4">
              <w:rPr>
                <w:rFonts w:cstheme="minorHAnsi"/>
                <w:vertAlign w:val="superscript"/>
              </w:rPr>
              <w:t>st</w:t>
            </w:r>
            <w:r w:rsidRPr="00C612D4">
              <w:rPr>
                <w:rFonts w:cstheme="minorHAnsi"/>
              </w:rPr>
              <w:t xml:space="preserve"> January 2025</w:t>
            </w:r>
          </w:p>
          <w:p w14:paraId="42DF3A94" w14:textId="77777777" w:rsidR="00C612D4" w:rsidRPr="00C612D4" w:rsidRDefault="00C612D4" w:rsidP="00C612D4">
            <w:pPr>
              <w:rPr>
                <w:rFonts w:cstheme="minorHAnsi"/>
              </w:rPr>
            </w:pPr>
          </w:p>
          <w:p w14:paraId="08D716E9" w14:textId="77777777" w:rsidR="00C612D4" w:rsidRPr="00C612D4" w:rsidRDefault="00C612D4" w:rsidP="00C612D4">
            <w:pPr>
              <w:rPr>
                <w:rFonts w:cstheme="minorHAnsi"/>
                <w:b/>
                <w:bCs/>
              </w:rPr>
            </w:pPr>
            <w:r w:rsidRPr="00C612D4">
              <w:rPr>
                <w:rFonts w:cstheme="minorHAnsi"/>
                <w:b/>
                <w:bCs/>
              </w:rPr>
              <w:t>Self-selection of P medicines:</w:t>
            </w:r>
          </w:p>
          <w:p w14:paraId="3E96A5A3" w14:textId="33338181" w:rsidR="00C612D4" w:rsidRPr="00C612D4" w:rsidRDefault="00C612D4" w:rsidP="00C612D4">
            <w:pPr>
              <w:rPr>
                <w:rFonts w:cstheme="minorHAnsi"/>
              </w:rPr>
            </w:pPr>
            <w:r w:rsidRPr="00C612D4">
              <w:rPr>
                <w:rFonts w:cstheme="minorHAnsi"/>
              </w:rPr>
              <w:t xml:space="preserve">CPEAG advised that in the event joint </w:t>
            </w:r>
            <w:r w:rsidR="00423FCF">
              <w:rPr>
                <w:rFonts w:cstheme="minorHAnsi"/>
              </w:rPr>
              <w:t>N</w:t>
            </w:r>
            <w:r w:rsidRPr="00C612D4">
              <w:rPr>
                <w:rFonts w:cstheme="minorHAnsi"/>
              </w:rPr>
              <w:t xml:space="preserve">ational </w:t>
            </w:r>
            <w:r w:rsidR="00423FCF">
              <w:rPr>
                <w:rFonts w:cstheme="minorHAnsi"/>
              </w:rPr>
              <w:t>B</w:t>
            </w:r>
            <w:r w:rsidRPr="00C612D4">
              <w:rPr>
                <w:rFonts w:cstheme="minorHAnsi"/>
              </w:rPr>
              <w:t xml:space="preserve">oards change current RPS policy, there was value in the RPS developing guidance to support considerations for a pharmacy owner/pharmacy superintendent/pharmacy team to review if planning a facilitated supply model. </w:t>
            </w:r>
          </w:p>
          <w:p w14:paraId="345D3283" w14:textId="77777777" w:rsidR="00C612D4" w:rsidRPr="00C612D4" w:rsidRDefault="00C612D4" w:rsidP="00C612D4">
            <w:pPr>
              <w:rPr>
                <w:rFonts w:cstheme="minorHAnsi"/>
              </w:rPr>
            </w:pPr>
            <w:r w:rsidRPr="00C612D4">
              <w:rPr>
                <w:rFonts w:cstheme="minorHAnsi"/>
              </w:rPr>
              <w:t xml:space="preserve">This guidance could include help with medicines which aren’t suitable, workforce competency, CCTV and pharmacy size and help with risk assessment. </w:t>
            </w:r>
          </w:p>
          <w:p w14:paraId="76678C53" w14:textId="77777777" w:rsidR="00C612D4" w:rsidRPr="00C612D4" w:rsidRDefault="00C612D4" w:rsidP="00C612D4">
            <w:pPr>
              <w:rPr>
                <w:rFonts w:cstheme="minorHAnsi"/>
              </w:rPr>
            </w:pPr>
            <w:r w:rsidRPr="00C612D4">
              <w:rPr>
                <w:rFonts w:cstheme="minorHAnsi"/>
              </w:rPr>
              <w:t>Next steps: RPS to prepare some outline ideas alongside the call for evidence report to support National Board discussions in February  </w:t>
            </w:r>
          </w:p>
          <w:p w14:paraId="7D7F49F4" w14:textId="77777777" w:rsidR="00C612D4" w:rsidRPr="00C612D4" w:rsidRDefault="00C612D4" w:rsidP="00C612D4">
            <w:pPr>
              <w:rPr>
                <w:rFonts w:cstheme="minorHAnsi"/>
              </w:rPr>
            </w:pPr>
          </w:p>
          <w:p w14:paraId="1AB55E8A" w14:textId="174514F2" w:rsidR="00C612D4" w:rsidRPr="00C612D4" w:rsidRDefault="00C612D4" w:rsidP="00C612D4">
            <w:pPr>
              <w:rPr>
                <w:rFonts w:cstheme="minorHAnsi"/>
              </w:rPr>
            </w:pPr>
            <w:r w:rsidRPr="00C612D4">
              <w:rPr>
                <w:rFonts w:cstheme="minorHAnsi"/>
              </w:rPr>
              <w:t>WT thanked CPEAG for their insights and proposed returning to next CPEAG to discuss RP, SP and delegation guidance insights</w:t>
            </w:r>
          </w:p>
          <w:p w14:paraId="6EDDB9C6" w14:textId="0A5CF1F3" w:rsidR="00E34166" w:rsidRPr="000C7A2D" w:rsidRDefault="00E34166" w:rsidP="00C612D4">
            <w:pPr>
              <w:pStyle w:val="paragraph"/>
              <w:spacing w:before="0" w:beforeAutospacing="0" w:after="0" w:afterAutospacing="0"/>
              <w:textAlignment w:val="baseline"/>
            </w:pPr>
          </w:p>
        </w:tc>
      </w:tr>
    </w:tbl>
    <w:p w14:paraId="2F40DAE3" w14:textId="77777777" w:rsidR="00CA621E" w:rsidRDefault="00CA621E" w:rsidP="004130F1">
      <w:pPr>
        <w:spacing w:after="0"/>
      </w:pPr>
    </w:p>
    <w:p w14:paraId="6F100AB2" w14:textId="1D7288EF" w:rsidR="0072482C" w:rsidRPr="00F57DAE" w:rsidRDefault="00695DCB" w:rsidP="00655078">
      <w:pPr>
        <w:keepNext/>
        <w:keepLines/>
        <w:pBdr>
          <w:bottom w:val="single" w:sz="4" w:space="0" w:color="auto"/>
        </w:pBdr>
        <w:shd w:val="clear" w:color="auto" w:fill="DEEAF6" w:themeFill="accent5" w:themeFillTint="33"/>
        <w:spacing w:before="40" w:after="0"/>
        <w:outlineLvl w:val="1"/>
        <w:rPr>
          <w:rFonts w:asciiTheme="majorHAnsi" w:eastAsiaTheme="majorEastAsia" w:hAnsiTheme="majorHAnsi" w:cstheme="majorHAnsi"/>
          <w:color w:val="000000" w:themeColor="text1"/>
          <w:sz w:val="28"/>
          <w:szCs w:val="28"/>
        </w:rPr>
      </w:pPr>
      <w:r>
        <w:rPr>
          <w:rFonts w:eastAsiaTheme="majorEastAsia" w:cstheme="minorHAnsi"/>
          <w:b/>
          <w:bCs/>
          <w:color w:val="000000" w:themeColor="text1"/>
          <w:sz w:val="24"/>
          <w:szCs w:val="24"/>
        </w:rPr>
        <w:t>3</w:t>
      </w:r>
      <w:r w:rsidR="002E79F3">
        <w:rPr>
          <w:rFonts w:eastAsiaTheme="majorEastAsia" w:cstheme="minorHAnsi"/>
          <w:b/>
          <w:bCs/>
          <w:color w:val="000000" w:themeColor="text1"/>
          <w:sz w:val="24"/>
          <w:szCs w:val="24"/>
        </w:rPr>
        <w:t xml:space="preserve">: </w:t>
      </w:r>
      <w:r w:rsidR="000D6BCA">
        <w:rPr>
          <w:rFonts w:eastAsiaTheme="majorEastAsia" w:cstheme="minorHAnsi"/>
          <w:b/>
          <w:bCs/>
          <w:color w:val="000000" w:themeColor="text1"/>
          <w:sz w:val="24"/>
          <w:szCs w:val="24"/>
        </w:rPr>
        <w:t xml:space="preserve"> </w:t>
      </w:r>
      <w:r w:rsidR="0020625F">
        <w:rPr>
          <w:rFonts w:eastAsiaTheme="majorEastAsia" w:cstheme="minorHAnsi"/>
          <w:b/>
          <w:bCs/>
          <w:color w:val="000000" w:themeColor="text1"/>
          <w:sz w:val="24"/>
          <w:szCs w:val="24"/>
        </w:rPr>
        <w:t xml:space="preserve">NHS </w:t>
      </w:r>
      <w:proofErr w:type="gramStart"/>
      <w:r w:rsidR="0020625F">
        <w:rPr>
          <w:rFonts w:eastAsiaTheme="majorEastAsia" w:cstheme="minorHAnsi"/>
          <w:b/>
          <w:bCs/>
          <w:color w:val="000000" w:themeColor="text1"/>
          <w:sz w:val="24"/>
          <w:szCs w:val="24"/>
        </w:rPr>
        <w:t>10 year</w:t>
      </w:r>
      <w:proofErr w:type="gramEnd"/>
      <w:r w:rsidR="0020625F">
        <w:rPr>
          <w:rFonts w:eastAsiaTheme="majorEastAsia" w:cstheme="minorHAnsi"/>
          <w:b/>
          <w:bCs/>
          <w:color w:val="000000" w:themeColor="text1"/>
          <w:sz w:val="24"/>
          <w:szCs w:val="24"/>
        </w:rPr>
        <w:t xml:space="preserve"> plan – Led by Heidi Wright – 30 mins</w:t>
      </w:r>
    </w:p>
    <w:tbl>
      <w:tblPr>
        <w:tblStyle w:val="TableGrid"/>
        <w:tblW w:w="0" w:type="auto"/>
        <w:tblLook w:val="04A0" w:firstRow="1" w:lastRow="0" w:firstColumn="1" w:lastColumn="0" w:noHBand="0" w:noVBand="1"/>
      </w:tblPr>
      <w:tblGrid>
        <w:gridCol w:w="1271"/>
        <w:gridCol w:w="7745"/>
      </w:tblGrid>
      <w:tr w:rsidR="0072482C" w14:paraId="3258CCBD" w14:textId="77777777">
        <w:trPr>
          <w:trHeight w:val="608"/>
        </w:trPr>
        <w:tc>
          <w:tcPr>
            <w:tcW w:w="1271" w:type="dxa"/>
          </w:tcPr>
          <w:p w14:paraId="55774161" w14:textId="45D536FF" w:rsidR="0072482C" w:rsidRPr="00C90D6E" w:rsidRDefault="00852BE8">
            <w:pPr>
              <w:rPr>
                <w:b/>
                <w:bCs/>
              </w:rPr>
            </w:pPr>
            <w:bookmarkStart w:id="1" w:name="_Hlk120111466"/>
            <w:r>
              <w:rPr>
                <w:b/>
                <w:bCs/>
              </w:rPr>
              <w:t>Description</w:t>
            </w:r>
          </w:p>
        </w:tc>
        <w:tc>
          <w:tcPr>
            <w:tcW w:w="7745" w:type="dxa"/>
          </w:tcPr>
          <w:p w14:paraId="5C6BE5B9" w14:textId="7D5E2C3F" w:rsidR="00655078" w:rsidRPr="00D753D3" w:rsidRDefault="0020625F" w:rsidP="00C612D4">
            <w:pPr>
              <w:shd w:val="clear" w:color="auto" w:fill="FFFFFF"/>
              <w:spacing w:after="165" w:line="390" w:lineRule="atLeast"/>
              <w:textAlignment w:val="baseline"/>
              <w:rPr>
                <w:rFonts w:cstheme="minorHAnsi"/>
              </w:rPr>
            </w:pPr>
            <w:r>
              <w:rPr>
                <w:rFonts w:cstheme="minorHAnsi"/>
                <w:spacing w:val="8"/>
              </w:rPr>
              <w:t>To Gain insight from CPEAG on the Government NHS 10</w:t>
            </w:r>
            <w:r w:rsidR="00C50470">
              <w:rPr>
                <w:rFonts w:cstheme="minorHAnsi"/>
                <w:spacing w:val="8"/>
              </w:rPr>
              <w:t>-</w:t>
            </w:r>
            <w:r>
              <w:rPr>
                <w:rFonts w:cstheme="minorHAnsi"/>
                <w:spacing w:val="8"/>
              </w:rPr>
              <w:t xml:space="preserve"> year plan</w:t>
            </w:r>
          </w:p>
        </w:tc>
      </w:tr>
      <w:tr w:rsidR="00852BE8" w14:paraId="7DC83DD6" w14:textId="77777777">
        <w:trPr>
          <w:trHeight w:val="608"/>
        </w:trPr>
        <w:tc>
          <w:tcPr>
            <w:tcW w:w="1271" w:type="dxa"/>
          </w:tcPr>
          <w:p w14:paraId="393E102A" w14:textId="692A07F0" w:rsidR="00852BE8" w:rsidRPr="00C90D6E" w:rsidRDefault="00852BE8">
            <w:pPr>
              <w:rPr>
                <w:b/>
                <w:bCs/>
              </w:rPr>
            </w:pPr>
            <w:r>
              <w:rPr>
                <w:b/>
                <w:bCs/>
              </w:rPr>
              <w:t>Purpose</w:t>
            </w:r>
          </w:p>
        </w:tc>
        <w:tc>
          <w:tcPr>
            <w:tcW w:w="7745" w:type="dxa"/>
          </w:tcPr>
          <w:p w14:paraId="6AE66CDD" w14:textId="77777777" w:rsidR="00852BE8" w:rsidRDefault="0020625F" w:rsidP="0020625F">
            <w:pPr>
              <w:rPr>
                <w:rFonts w:cstheme="minorHAnsi"/>
                <w:sz w:val="20"/>
                <w:szCs w:val="20"/>
              </w:rPr>
            </w:pPr>
            <w:r w:rsidRPr="0020625F">
              <w:rPr>
                <w:rFonts w:cstheme="minorHAnsi"/>
                <w:sz w:val="20"/>
                <w:szCs w:val="20"/>
              </w:rPr>
              <w:t xml:space="preserve">As you will have seen the Government is asking for views to shape a new </w:t>
            </w:r>
            <w:hyperlink r:id="rId13" w:history="1">
              <w:r w:rsidRPr="0020625F">
                <w:rPr>
                  <w:rStyle w:val="Hyperlink"/>
                  <w:rFonts w:cstheme="minorHAnsi"/>
                  <w:sz w:val="20"/>
                  <w:szCs w:val="20"/>
                </w:rPr>
                <w:t>10-Year Health Plan</w:t>
              </w:r>
            </w:hyperlink>
            <w:r w:rsidRPr="0020625F">
              <w:rPr>
                <w:rFonts w:cstheme="minorHAnsi"/>
                <w:sz w:val="20"/>
                <w:szCs w:val="20"/>
              </w:rPr>
              <w:t xml:space="preserve">. We would love to hear from pharmacists and pharmacy teams to help inform our response and especially you, as expert advisers to RPS. </w:t>
            </w:r>
          </w:p>
          <w:p w14:paraId="1CFF00A3" w14:textId="33CF5DC8" w:rsidR="0020625F" w:rsidRPr="00AF3A39" w:rsidRDefault="0020625F" w:rsidP="0020625F">
            <w:pPr>
              <w:rPr>
                <w:rFonts w:cstheme="minorHAnsi"/>
              </w:rPr>
            </w:pPr>
          </w:p>
        </w:tc>
      </w:tr>
      <w:bookmarkEnd w:id="1"/>
      <w:tr w:rsidR="0072482C" w14:paraId="4F8AC75B" w14:textId="77777777" w:rsidTr="00AB2248">
        <w:trPr>
          <w:trHeight w:val="528"/>
        </w:trPr>
        <w:tc>
          <w:tcPr>
            <w:tcW w:w="1271" w:type="dxa"/>
          </w:tcPr>
          <w:p w14:paraId="13B34308" w14:textId="77777777" w:rsidR="0072482C" w:rsidRPr="00C90D6E" w:rsidRDefault="0072482C">
            <w:pPr>
              <w:rPr>
                <w:b/>
                <w:bCs/>
              </w:rPr>
            </w:pPr>
            <w:r>
              <w:rPr>
                <w:b/>
                <w:bCs/>
              </w:rPr>
              <w:t>Outcome</w:t>
            </w:r>
            <w:r w:rsidRPr="00C90D6E">
              <w:rPr>
                <w:b/>
                <w:bCs/>
              </w:rPr>
              <w:t>s</w:t>
            </w:r>
          </w:p>
        </w:tc>
        <w:tc>
          <w:tcPr>
            <w:tcW w:w="7745" w:type="dxa"/>
          </w:tcPr>
          <w:p w14:paraId="2B377BB3" w14:textId="18A706A2" w:rsidR="00C612D4" w:rsidRDefault="00C612D4">
            <w:r>
              <w:t xml:space="preserve">HW </w:t>
            </w:r>
            <w:r w:rsidR="00313EC2">
              <w:t xml:space="preserve">previously shared </w:t>
            </w:r>
            <w:r>
              <w:t>the 10-year health plan</w:t>
            </w:r>
            <w:r w:rsidR="00825D93">
              <w:t xml:space="preserve"> and an initial RPS draft response</w:t>
            </w:r>
            <w:r w:rsidR="002A3BB5">
              <w:t xml:space="preserve">. CPEAG were asked </w:t>
            </w:r>
            <w:r>
              <w:t>for their professional advice</w:t>
            </w:r>
            <w:r w:rsidR="002A3BB5">
              <w:t xml:space="preserve"> to include in the </w:t>
            </w:r>
            <w:r>
              <w:t>response by RPS around the questions</w:t>
            </w:r>
            <w:r w:rsidR="002A3BB5">
              <w:t>.</w:t>
            </w:r>
          </w:p>
          <w:p w14:paraId="0714B422" w14:textId="77777777" w:rsidR="002A3BB5" w:rsidRDefault="002A3BB5"/>
          <w:p w14:paraId="4E10E94B" w14:textId="77777777" w:rsidR="00C612D4" w:rsidRDefault="00C612D4" w:rsidP="00C612D4">
            <w:r w:rsidRPr="00B07A44">
              <w:rPr>
                <w:b/>
                <w:bCs/>
              </w:rPr>
              <w:t>Q1. What does your organisation want to see included in the 10-Year Health Plan and why?</w:t>
            </w:r>
            <w:r w:rsidRPr="00B07A44">
              <w:t> </w:t>
            </w:r>
          </w:p>
          <w:p w14:paraId="378639BA" w14:textId="20AF38F4" w:rsidR="002A3BB5" w:rsidRPr="002A3BB5" w:rsidRDefault="002A3BB5" w:rsidP="00C612D4">
            <w:pPr>
              <w:rPr>
                <w:b/>
                <w:bCs/>
              </w:rPr>
            </w:pPr>
            <w:r w:rsidRPr="002A3BB5">
              <w:rPr>
                <w:b/>
                <w:bCs/>
              </w:rPr>
              <w:t>CPEAG</w:t>
            </w:r>
            <w:r>
              <w:rPr>
                <w:b/>
                <w:bCs/>
              </w:rPr>
              <w:t xml:space="preserve"> noted as </w:t>
            </w:r>
            <w:proofErr w:type="gramStart"/>
            <w:r>
              <w:rPr>
                <w:b/>
                <w:bCs/>
              </w:rPr>
              <w:t>follows:-</w:t>
            </w:r>
            <w:proofErr w:type="gramEnd"/>
          </w:p>
          <w:p w14:paraId="591BCC7B" w14:textId="77777777" w:rsidR="00313EC2" w:rsidRDefault="00313EC2" w:rsidP="00313EC2">
            <w:pPr>
              <w:pStyle w:val="ListParagraph"/>
              <w:numPr>
                <w:ilvl w:val="0"/>
                <w:numId w:val="29"/>
              </w:numPr>
              <w:spacing w:line="278" w:lineRule="auto"/>
            </w:pPr>
            <w:r>
              <w:t>Capacity and capability (CPE action plan)</w:t>
            </w:r>
          </w:p>
          <w:p w14:paraId="1A80607B" w14:textId="5CC2CFB8" w:rsidR="00313EC2" w:rsidRDefault="00313EC2" w:rsidP="00313EC2">
            <w:pPr>
              <w:pStyle w:val="ListParagraph"/>
              <w:numPr>
                <w:ilvl w:val="0"/>
                <w:numId w:val="29"/>
              </w:numPr>
              <w:spacing w:line="278" w:lineRule="auto"/>
            </w:pPr>
            <w:r>
              <w:t>Recognition of role</w:t>
            </w:r>
            <w:r w:rsidR="00825D93">
              <w:t xml:space="preserve"> of pharmacy</w:t>
            </w:r>
            <w:r>
              <w:t xml:space="preserve"> include parity of approach to different elements of primary care </w:t>
            </w:r>
          </w:p>
          <w:p w14:paraId="4A020156" w14:textId="17196DFD" w:rsidR="00313EC2" w:rsidRDefault="00313EC2" w:rsidP="00313EC2">
            <w:pPr>
              <w:pStyle w:val="ListParagraph"/>
              <w:numPr>
                <w:ilvl w:val="0"/>
                <w:numId w:val="29"/>
              </w:numPr>
              <w:spacing w:line="278" w:lineRule="auto"/>
            </w:pPr>
            <w:r>
              <w:t>Specific points</w:t>
            </w:r>
            <w:r w:rsidR="00825D93">
              <w:t xml:space="preserve"> raised</w:t>
            </w:r>
            <w:r>
              <w:t xml:space="preserve"> – why</w:t>
            </w:r>
            <w:r w:rsidR="00C50470">
              <w:t xml:space="preserve"> are specific</w:t>
            </w:r>
            <w:r>
              <w:t xml:space="preserve"> figures</w:t>
            </w:r>
            <w:r w:rsidR="00C50470">
              <w:t xml:space="preserve"> mentioned</w:t>
            </w:r>
            <w:r w:rsidR="00BF71F9">
              <w:t>?</w:t>
            </w:r>
            <w:r>
              <w:t xml:space="preserve"> Investment </w:t>
            </w:r>
            <w:r w:rsidR="00825D93">
              <w:t>should be proportionate</w:t>
            </w:r>
            <w:r>
              <w:t xml:space="preserve"> of the</w:t>
            </w:r>
            <w:r w:rsidR="00825D93">
              <w:t xml:space="preserve"> whole</w:t>
            </w:r>
            <w:r>
              <w:t xml:space="preserve"> NHS budget –</w:t>
            </w:r>
            <w:r w:rsidR="00825D93">
              <w:t xml:space="preserve"> community </w:t>
            </w:r>
            <w:r>
              <w:t xml:space="preserve">pharmacy plays </w:t>
            </w:r>
            <w:r w:rsidR="00825D93">
              <w:t>a critical role in service delivery in primary care, investment should reflect this</w:t>
            </w:r>
          </w:p>
          <w:p w14:paraId="49FA11FD" w14:textId="77777777" w:rsidR="00313EC2" w:rsidRDefault="00313EC2" w:rsidP="00313EC2">
            <w:pPr>
              <w:pStyle w:val="ListParagraph"/>
              <w:numPr>
                <w:ilvl w:val="0"/>
                <w:numId w:val="29"/>
              </w:numPr>
              <w:spacing w:line="278" w:lineRule="auto"/>
            </w:pPr>
            <w:r>
              <w:t>Public health and prevention of diseases. Advocates for the patients and public. Signposting</w:t>
            </w:r>
          </w:p>
          <w:p w14:paraId="1990F745" w14:textId="77777777" w:rsidR="00313EC2" w:rsidRDefault="00313EC2" w:rsidP="00313EC2">
            <w:pPr>
              <w:pStyle w:val="ListParagraph"/>
              <w:numPr>
                <w:ilvl w:val="0"/>
                <w:numId w:val="29"/>
              </w:numPr>
              <w:spacing w:line="278" w:lineRule="auto"/>
            </w:pPr>
            <w:r>
              <w:t>Pharmacogenomics in screening and prevention section</w:t>
            </w:r>
          </w:p>
          <w:p w14:paraId="2E4956A8" w14:textId="77777777" w:rsidR="009A08EA" w:rsidRDefault="00825D93" w:rsidP="00313EC2">
            <w:pPr>
              <w:pStyle w:val="ListParagraph"/>
              <w:numPr>
                <w:ilvl w:val="0"/>
                <w:numId w:val="29"/>
              </w:numPr>
              <w:spacing w:line="278" w:lineRule="auto"/>
            </w:pPr>
            <w:r>
              <w:t xml:space="preserve">In our response, </w:t>
            </w:r>
          </w:p>
          <w:p w14:paraId="0F8483C0" w14:textId="77777777" w:rsidR="002733BA" w:rsidRDefault="002733BA" w:rsidP="00313EC2">
            <w:pPr>
              <w:pStyle w:val="ListParagraph"/>
              <w:numPr>
                <w:ilvl w:val="0"/>
                <w:numId w:val="29"/>
              </w:numPr>
              <w:spacing w:line="278" w:lineRule="auto"/>
            </w:pPr>
          </w:p>
          <w:p w14:paraId="696ADC2B" w14:textId="376DEF5D" w:rsidR="00313EC2" w:rsidRDefault="00825D93" w:rsidP="00313EC2">
            <w:pPr>
              <w:pStyle w:val="ListParagraph"/>
              <w:numPr>
                <w:ilvl w:val="0"/>
                <w:numId w:val="29"/>
              </w:numPr>
              <w:spacing w:line="278" w:lineRule="auto"/>
            </w:pPr>
            <w:r>
              <w:t xml:space="preserve">sub section the </w:t>
            </w:r>
            <w:r w:rsidR="00313EC2">
              <w:t>different areas of practice – what difference does this make to each sector</w:t>
            </w:r>
          </w:p>
          <w:p w14:paraId="438D501D" w14:textId="77777777" w:rsidR="00313EC2" w:rsidRDefault="00313EC2" w:rsidP="00313EC2">
            <w:pPr>
              <w:pStyle w:val="ListParagraph"/>
              <w:numPr>
                <w:ilvl w:val="0"/>
                <w:numId w:val="29"/>
              </w:numPr>
              <w:spacing w:line="278" w:lineRule="auto"/>
            </w:pPr>
            <w:r>
              <w:lastRenderedPageBreak/>
              <w:t>Support for deprescribing – and being remunerated for that</w:t>
            </w:r>
          </w:p>
          <w:p w14:paraId="0B103388" w14:textId="77777777" w:rsidR="00313EC2" w:rsidRPr="00B07A44" w:rsidRDefault="00313EC2" w:rsidP="00313EC2">
            <w:r w:rsidRPr="00B07A44">
              <w:rPr>
                <w:b/>
                <w:bCs/>
              </w:rPr>
              <w:t>Shift 1: moving more care from hospitals to communities </w:t>
            </w:r>
            <w:r w:rsidRPr="00B07A44">
              <w:t> </w:t>
            </w:r>
          </w:p>
          <w:p w14:paraId="0795B0CA" w14:textId="77777777" w:rsidR="00313EC2" w:rsidRPr="00B07A44" w:rsidRDefault="00313EC2" w:rsidP="00313EC2">
            <w:r w:rsidRPr="00B07A44">
              <w:t>This means delivering more tests, scans, treatments and therapies nearer to where people live. This could help people lead healthier and more independent lives, reducing the likelihood of serious illness and long hospital stays. This would allow hospitals to focus on the most serious illnesses and emergencies.  </w:t>
            </w:r>
          </w:p>
          <w:p w14:paraId="14ABFAB2" w14:textId="77777777" w:rsidR="00313EC2" w:rsidRPr="00B07A44" w:rsidRDefault="00313EC2" w:rsidP="00313EC2">
            <w:r w:rsidRPr="00B07A44">
              <w:t>More health services would be provided at places like GP clinics, pharmacies, local health centres, and in people’s homes. This may involve adapting or extending clinics, surgeries and other facilities in our neighbourhoods, so that they can provide things that are mostly delivered in hospitals at the moment. Examples might include:  </w:t>
            </w:r>
          </w:p>
          <w:p w14:paraId="24BD32D1" w14:textId="77777777" w:rsidR="00313EC2" w:rsidRPr="00B07A44" w:rsidRDefault="00313EC2" w:rsidP="00313EC2">
            <w:pPr>
              <w:numPr>
                <w:ilvl w:val="0"/>
                <w:numId w:val="31"/>
              </w:numPr>
              <w:spacing w:line="278" w:lineRule="auto"/>
            </w:pPr>
            <w:r w:rsidRPr="00B07A44">
              <w:t>urgent treatment for minor emergencies  </w:t>
            </w:r>
          </w:p>
          <w:p w14:paraId="09533F97" w14:textId="77777777" w:rsidR="00313EC2" w:rsidRPr="00B07A44" w:rsidRDefault="00313EC2" w:rsidP="00313EC2">
            <w:pPr>
              <w:numPr>
                <w:ilvl w:val="0"/>
                <w:numId w:val="32"/>
              </w:numPr>
              <w:spacing w:line="278" w:lineRule="auto"/>
            </w:pPr>
            <w:r w:rsidRPr="00B07A44">
              <w:t>diagnostic scans and tests  </w:t>
            </w:r>
          </w:p>
          <w:p w14:paraId="59BB3827" w14:textId="77777777" w:rsidR="00313EC2" w:rsidRPr="00B07A44" w:rsidRDefault="00313EC2" w:rsidP="00313EC2">
            <w:pPr>
              <w:numPr>
                <w:ilvl w:val="0"/>
                <w:numId w:val="33"/>
              </w:numPr>
              <w:spacing w:line="278" w:lineRule="auto"/>
            </w:pPr>
            <w:r w:rsidRPr="00B07A44">
              <w:t>ongoing treatments and therapies.  </w:t>
            </w:r>
          </w:p>
          <w:p w14:paraId="46E2EFA4" w14:textId="77777777" w:rsidR="00313EC2" w:rsidRPr="00B07A44" w:rsidRDefault="00313EC2" w:rsidP="00313EC2">
            <w:pPr>
              <w:pStyle w:val="ListParagraph"/>
              <w:spacing w:line="278" w:lineRule="auto"/>
            </w:pPr>
          </w:p>
          <w:p w14:paraId="3A45C563" w14:textId="77777777" w:rsidR="00313EC2" w:rsidRDefault="00313EC2" w:rsidP="00313EC2">
            <w:r w:rsidRPr="00B07A44">
              <w:rPr>
                <w:b/>
                <w:bCs/>
              </w:rPr>
              <w:t>Q2. What does your organisation see as the biggest challenges and enablers to move more care from hospitals to communities?</w:t>
            </w:r>
            <w:r w:rsidRPr="00B07A44">
              <w:t> </w:t>
            </w:r>
          </w:p>
          <w:p w14:paraId="1F1E8157" w14:textId="1BEF85B1" w:rsidR="002A3BB5" w:rsidRPr="002A3BB5" w:rsidRDefault="002A3BB5" w:rsidP="00313EC2">
            <w:pPr>
              <w:rPr>
                <w:b/>
                <w:bCs/>
              </w:rPr>
            </w:pPr>
            <w:r w:rsidRPr="002A3BB5">
              <w:rPr>
                <w:b/>
                <w:bCs/>
              </w:rPr>
              <w:t xml:space="preserve">CPEAG </w:t>
            </w:r>
            <w:r w:rsidR="003C4030">
              <w:rPr>
                <w:b/>
                <w:bCs/>
              </w:rPr>
              <w:t xml:space="preserve">comments were </w:t>
            </w:r>
            <w:r w:rsidRPr="002A3BB5">
              <w:rPr>
                <w:b/>
                <w:bCs/>
              </w:rPr>
              <w:t xml:space="preserve">noted as </w:t>
            </w:r>
            <w:proofErr w:type="gramStart"/>
            <w:r w:rsidRPr="002A3BB5">
              <w:rPr>
                <w:b/>
                <w:bCs/>
              </w:rPr>
              <w:t>follows:-</w:t>
            </w:r>
            <w:proofErr w:type="gramEnd"/>
          </w:p>
          <w:p w14:paraId="148A0CB3" w14:textId="02635248" w:rsidR="00313EC2" w:rsidRDefault="00313EC2" w:rsidP="00313EC2">
            <w:pPr>
              <w:pStyle w:val="ListParagraph"/>
              <w:numPr>
                <w:ilvl w:val="0"/>
                <w:numId w:val="30"/>
              </w:numPr>
              <w:spacing w:line="278" w:lineRule="auto"/>
            </w:pPr>
            <w:r>
              <w:t>More variation created th</w:t>
            </w:r>
            <w:r w:rsidR="002A3BB5">
              <w:t>a</w:t>
            </w:r>
            <w:r>
              <w:t>n there needs to be – doing it once and doing it right – maybe some local flavouring. Could be simplified and be done more quickly – also helps patients / public to understand. Consistency, especially cross county borders. Over complicating</w:t>
            </w:r>
          </w:p>
          <w:p w14:paraId="0F15FA55" w14:textId="77777777" w:rsidR="00313EC2" w:rsidRDefault="00313EC2" w:rsidP="00313EC2">
            <w:pPr>
              <w:pStyle w:val="ListParagraph"/>
              <w:numPr>
                <w:ilvl w:val="0"/>
                <w:numId w:val="30"/>
              </w:numPr>
              <w:spacing w:line="278" w:lineRule="auto"/>
            </w:pPr>
            <w:r>
              <w:t>Need to make care more mobile so access to information is key</w:t>
            </w:r>
          </w:p>
          <w:p w14:paraId="59315769" w14:textId="3FBDB99E" w:rsidR="00313EC2" w:rsidRDefault="00825D93" w:rsidP="00313EC2">
            <w:pPr>
              <w:pStyle w:val="ListParagraph"/>
              <w:numPr>
                <w:ilvl w:val="0"/>
                <w:numId w:val="30"/>
              </w:numPr>
              <w:spacing w:line="278" w:lineRule="auto"/>
            </w:pPr>
            <w:r>
              <w:t>Ensuring the system is designed to work for patients</w:t>
            </w:r>
          </w:p>
          <w:p w14:paraId="54F32A64" w14:textId="629E6A87" w:rsidR="00313EC2" w:rsidRDefault="00313EC2" w:rsidP="00313EC2">
            <w:pPr>
              <w:pStyle w:val="ListParagraph"/>
              <w:numPr>
                <w:ilvl w:val="0"/>
                <w:numId w:val="30"/>
              </w:numPr>
              <w:spacing w:line="278" w:lineRule="auto"/>
            </w:pPr>
            <w:r>
              <w:t>Payments for community pharmacy</w:t>
            </w:r>
            <w:r w:rsidR="00825D93">
              <w:t xml:space="preserve"> </w:t>
            </w:r>
            <w:r>
              <w:t xml:space="preserve">– paid </w:t>
            </w:r>
            <w:r w:rsidR="00825D93">
              <w:t xml:space="preserve">appropriately </w:t>
            </w:r>
            <w:r>
              <w:t>for medicines</w:t>
            </w:r>
            <w:r w:rsidR="00825D93">
              <w:t xml:space="preserve"> supply</w:t>
            </w:r>
            <w:r>
              <w:t xml:space="preserve"> and concession</w:t>
            </w:r>
            <w:r w:rsidR="00825D93">
              <w:t xml:space="preserve"> prices, when needed must be enacted promptly</w:t>
            </w:r>
          </w:p>
          <w:p w14:paraId="0FAE109A" w14:textId="7A376A24" w:rsidR="00313EC2" w:rsidRDefault="00644FF2" w:rsidP="00313EC2">
            <w:pPr>
              <w:pStyle w:val="ListParagraph"/>
              <w:numPr>
                <w:ilvl w:val="0"/>
                <w:numId w:val="30"/>
              </w:numPr>
              <w:spacing w:line="278" w:lineRule="auto"/>
            </w:pPr>
            <w:r>
              <w:t>Essential to n</w:t>
            </w:r>
            <w:r w:rsidR="00313EC2">
              <w:t>ot hav</w:t>
            </w:r>
            <w:r>
              <w:t>e</w:t>
            </w:r>
            <w:r w:rsidR="00313EC2">
              <w:t xml:space="preserve"> different professions in </w:t>
            </w:r>
            <w:r>
              <w:t>‘</w:t>
            </w:r>
            <w:r w:rsidR="00313EC2">
              <w:t>competition with each other</w:t>
            </w:r>
            <w:r>
              <w:t>’</w:t>
            </w:r>
            <w:r w:rsidR="00313EC2">
              <w:t xml:space="preserve"> – shared </w:t>
            </w:r>
            <w:r w:rsidR="003C4030">
              <w:t>goals, especially</w:t>
            </w:r>
            <w:r w:rsidR="00313EC2">
              <w:t xml:space="preserve"> as</w:t>
            </w:r>
            <w:r>
              <w:t xml:space="preserve"> wider</w:t>
            </w:r>
            <w:r w:rsidR="00313EC2">
              <w:t xml:space="preserve"> primary care</w:t>
            </w:r>
            <w:r>
              <w:t xml:space="preserve"> team.</w:t>
            </w:r>
          </w:p>
          <w:p w14:paraId="23BFA85B" w14:textId="086BD9FD" w:rsidR="00313EC2" w:rsidRDefault="00644FF2" w:rsidP="00313EC2">
            <w:pPr>
              <w:pStyle w:val="ListParagraph"/>
              <w:numPr>
                <w:ilvl w:val="0"/>
                <w:numId w:val="30"/>
              </w:numPr>
              <w:spacing w:line="278" w:lineRule="auto"/>
            </w:pPr>
            <w:r>
              <w:t>Need for</w:t>
            </w:r>
            <w:r w:rsidR="00313EC2">
              <w:t xml:space="preserve"> longer term planning and </w:t>
            </w:r>
            <w:r w:rsidR="003C4030">
              <w:t>longer-term</w:t>
            </w:r>
            <w:r w:rsidR="00313EC2">
              <w:t xml:space="preserve"> sustainable planning and investment</w:t>
            </w:r>
            <w:r>
              <w:t>, not always just short</w:t>
            </w:r>
            <w:r w:rsidR="00EF00D1">
              <w:t>-</w:t>
            </w:r>
            <w:r>
              <w:t xml:space="preserve"> term fixes</w:t>
            </w:r>
          </w:p>
          <w:p w14:paraId="49CAA7F6" w14:textId="77777777" w:rsidR="00313EC2" w:rsidRDefault="00313EC2" w:rsidP="00313EC2">
            <w:pPr>
              <w:pStyle w:val="ListParagraph"/>
              <w:numPr>
                <w:ilvl w:val="0"/>
                <w:numId w:val="30"/>
              </w:numPr>
              <w:spacing w:line="278" w:lineRule="auto"/>
            </w:pPr>
            <w:r>
              <w:t>How to make sure decisions made about pharmacy are integrated with services in primary / secondary care so patients can flow through the system rather than bottlenecks – e.g capacity to follow up referrals</w:t>
            </w:r>
          </w:p>
          <w:p w14:paraId="0595244A" w14:textId="77777777" w:rsidR="00C612D4" w:rsidRDefault="00C612D4"/>
          <w:p w14:paraId="5B043CA1" w14:textId="77777777" w:rsidR="00313EC2" w:rsidRDefault="00313EC2" w:rsidP="00313EC2">
            <w:r w:rsidRPr="00C1742A">
              <w:rPr>
                <w:b/>
                <w:bCs/>
              </w:rPr>
              <w:t>Q3. What does your organisation see as the biggest challenges and enablers to making better use of technology in health and care?</w:t>
            </w:r>
            <w:r w:rsidRPr="00C1742A">
              <w:t> </w:t>
            </w:r>
          </w:p>
          <w:p w14:paraId="509B8535" w14:textId="01B6D9B6" w:rsidR="002A3BB5" w:rsidRPr="002A3BB5" w:rsidRDefault="002A3BB5" w:rsidP="00313EC2">
            <w:pPr>
              <w:rPr>
                <w:b/>
                <w:bCs/>
              </w:rPr>
            </w:pPr>
            <w:r w:rsidRPr="002A3BB5">
              <w:rPr>
                <w:b/>
                <w:bCs/>
              </w:rPr>
              <w:t xml:space="preserve">CPEAG </w:t>
            </w:r>
            <w:r w:rsidR="003C4030">
              <w:rPr>
                <w:b/>
                <w:bCs/>
              </w:rPr>
              <w:t xml:space="preserve">comments were </w:t>
            </w:r>
            <w:r w:rsidRPr="002A3BB5">
              <w:rPr>
                <w:b/>
                <w:bCs/>
              </w:rPr>
              <w:t xml:space="preserve">noted as </w:t>
            </w:r>
            <w:proofErr w:type="gramStart"/>
            <w:r w:rsidRPr="002A3BB5">
              <w:rPr>
                <w:b/>
                <w:bCs/>
              </w:rPr>
              <w:t>follows:-</w:t>
            </w:r>
            <w:proofErr w:type="gramEnd"/>
          </w:p>
          <w:p w14:paraId="5C43CB2E" w14:textId="5278EC76" w:rsidR="00313EC2" w:rsidRDefault="00313EC2" w:rsidP="00313EC2">
            <w:pPr>
              <w:pStyle w:val="ListParagraph"/>
              <w:numPr>
                <w:ilvl w:val="0"/>
                <w:numId w:val="34"/>
              </w:numPr>
              <w:spacing w:line="278" w:lineRule="auto"/>
            </w:pPr>
            <w:r>
              <w:t>Time</w:t>
            </w:r>
            <w:r w:rsidR="002A3BB5">
              <w:t xml:space="preserve"> needs to be </w:t>
            </w:r>
            <w:r>
              <w:t xml:space="preserve">taken to help people understand digital messages – </w:t>
            </w:r>
            <w:r w:rsidR="004C0646">
              <w:t xml:space="preserve">there will naturally be </w:t>
            </w:r>
            <w:r>
              <w:t xml:space="preserve">cohorts of people who will need time to be </w:t>
            </w:r>
            <w:r w:rsidR="00644FF2">
              <w:t xml:space="preserve">educated </w:t>
            </w:r>
            <w:r>
              <w:t xml:space="preserve">and navigate the ‘new’ system. </w:t>
            </w:r>
          </w:p>
          <w:p w14:paraId="2FD69A2D" w14:textId="3A4A8527" w:rsidR="00313EC2" w:rsidRDefault="00313EC2" w:rsidP="00313EC2">
            <w:pPr>
              <w:pStyle w:val="ListParagraph"/>
              <w:numPr>
                <w:ilvl w:val="0"/>
                <w:numId w:val="34"/>
              </w:numPr>
              <w:spacing w:line="278" w:lineRule="auto"/>
            </w:pPr>
            <w:r>
              <w:t xml:space="preserve">Care Homes not able to utilise NHS App for residents – need to be able to do it on behalf of people – </w:t>
            </w:r>
            <w:r w:rsidR="004C0646">
              <w:t xml:space="preserve">to ensure </w:t>
            </w:r>
            <w:r>
              <w:t>social care inclusion</w:t>
            </w:r>
          </w:p>
          <w:p w14:paraId="56E56A7E" w14:textId="22BF6BF6" w:rsidR="00313EC2" w:rsidRDefault="00313EC2" w:rsidP="00313EC2">
            <w:pPr>
              <w:pStyle w:val="ListParagraph"/>
              <w:numPr>
                <w:ilvl w:val="0"/>
                <w:numId w:val="34"/>
              </w:numPr>
              <w:spacing w:line="278" w:lineRule="auto"/>
            </w:pPr>
            <w:r>
              <w:t>IP pathfinder standards need to be same as other prescribing standards</w:t>
            </w:r>
            <w:r w:rsidR="004C0646">
              <w:t xml:space="preserve">, to ensure </w:t>
            </w:r>
            <w:r>
              <w:t xml:space="preserve">all </w:t>
            </w:r>
            <w:r w:rsidR="004C0646">
              <w:t xml:space="preserve">prescribers are </w:t>
            </w:r>
            <w:r>
              <w:t>working to same standards</w:t>
            </w:r>
          </w:p>
          <w:p w14:paraId="0F15E8C5" w14:textId="57C3A333" w:rsidR="00313EC2" w:rsidRDefault="00313EC2" w:rsidP="004C0646">
            <w:pPr>
              <w:pStyle w:val="ListParagraph"/>
              <w:numPr>
                <w:ilvl w:val="0"/>
                <w:numId w:val="34"/>
              </w:numPr>
              <w:spacing w:line="278" w:lineRule="auto"/>
            </w:pPr>
            <w:r>
              <w:t xml:space="preserve">Interoperability is critical </w:t>
            </w:r>
            <w:r w:rsidR="004C0646">
              <w:t>and</w:t>
            </w:r>
            <w:r>
              <w:t xml:space="preserve"> communication between systems</w:t>
            </w:r>
            <w:r w:rsidR="004C0646">
              <w:t>, across settings, within NHS systems and to community pharmacy systems</w:t>
            </w:r>
          </w:p>
          <w:p w14:paraId="568F92CD" w14:textId="77777777" w:rsidR="00313EC2" w:rsidRDefault="00313EC2" w:rsidP="00313EC2">
            <w:pPr>
              <w:pStyle w:val="ListParagraph"/>
              <w:numPr>
                <w:ilvl w:val="0"/>
                <w:numId w:val="34"/>
              </w:numPr>
              <w:spacing w:line="278" w:lineRule="auto"/>
            </w:pPr>
            <w:r>
              <w:t>Changes to digital infrastructure across community pharmacy will need investment as shift towards a digitally connected world. Enable progress for pharmacy. Capital investment opportunity and parity across primary care. Not get left behind – make more efficient and create additional capacity</w:t>
            </w:r>
          </w:p>
          <w:p w14:paraId="0F8D8B85" w14:textId="77777777" w:rsidR="00313EC2" w:rsidRPr="00C1742A" w:rsidRDefault="00313EC2" w:rsidP="00313EC2"/>
          <w:p w14:paraId="442E322D" w14:textId="77777777" w:rsidR="00313EC2" w:rsidRPr="00C1742A" w:rsidRDefault="00313EC2" w:rsidP="00313EC2">
            <w:r w:rsidRPr="00C1742A">
              <w:rPr>
                <w:b/>
                <w:bCs/>
              </w:rPr>
              <w:t>Shift 3: Sickness to Prevention </w:t>
            </w:r>
            <w:r w:rsidRPr="00C1742A">
              <w:t> </w:t>
            </w:r>
          </w:p>
          <w:p w14:paraId="5E77CFDC" w14:textId="77777777" w:rsidR="004C0646" w:rsidRDefault="004C0646" w:rsidP="004C0646">
            <w:pPr>
              <w:pStyle w:val="ListParagraph"/>
              <w:numPr>
                <w:ilvl w:val="0"/>
                <w:numId w:val="36"/>
              </w:numPr>
            </w:pPr>
            <w:r>
              <w:t>Proactive approach to prevention of illness, wellness and tackling the underlying causes of ill health (social determinants of health).</w:t>
            </w:r>
          </w:p>
          <w:p w14:paraId="026C32FD" w14:textId="5A5FCBB2" w:rsidR="004C0646" w:rsidRDefault="004C0646" w:rsidP="004C0646">
            <w:pPr>
              <w:pStyle w:val="ListParagraph"/>
              <w:numPr>
                <w:ilvl w:val="0"/>
                <w:numId w:val="36"/>
              </w:numPr>
            </w:pPr>
            <w:r>
              <w:t>Early screening and diagnosis of illness</w:t>
            </w:r>
          </w:p>
          <w:p w14:paraId="01B1FD91" w14:textId="084BD02B" w:rsidR="00313EC2" w:rsidRDefault="004C0646" w:rsidP="004C0646">
            <w:pPr>
              <w:pStyle w:val="ListParagraph"/>
              <w:numPr>
                <w:ilvl w:val="0"/>
                <w:numId w:val="36"/>
              </w:numPr>
            </w:pPr>
            <w:r>
              <w:t>By preventing ill health within the population, we will naturally relieve pressure on primary and secondary care services</w:t>
            </w:r>
          </w:p>
          <w:p w14:paraId="19177FBC" w14:textId="77777777" w:rsidR="004C0646" w:rsidRDefault="004C0646" w:rsidP="00313EC2"/>
          <w:p w14:paraId="0E7ED045" w14:textId="77777777" w:rsidR="00313EC2" w:rsidRDefault="00313EC2" w:rsidP="00313EC2">
            <w:r w:rsidRPr="00C1742A">
              <w:rPr>
                <w:b/>
                <w:bCs/>
              </w:rPr>
              <w:t>Q4. What does your organisation see as the biggest challenges and enablers to spotting illnesses earlier and tackling the causes of ill health?</w:t>
            </w:r>
            <w:r w:rsidRPr="00C1742A">
              <w:t> </w:t>
            </w:r>
          </w:p>
          <w:p w14:paraId="2BC4FBD7" w14:textId="79A85B87" w:rsidR="002A3BB5" w:rsidRPr="002A3BB5" w:rsidRDefault="002A3BB5" w:rsidP="00313EC2">
            <w:pPr>
              <w:rPr>
                <w:b/>
                <w:bCs/>
              </w:rPr>
            </w:pPr>
            <w:r w:rsidRPr="002A3BB5">
              <w:rPr>
                <w:b/>
                <w:bCs/>
              </w:rPr>
              <w:t xml:space="preserve">CPEAG </w:t>
            </w:r>
            <w:r w:rsidR="003C4030">
              <w:rPr>
                <w:b/>
                <w:bCs/>
              </w:rPr>
              <w:t xml:space="preserve">comments were </w:t>
            </w:r>
            <w:r w:rsidRPr="002A3BB5">
              <w:rPr>
                <w:b/>
                <w:bCs/>
              </w:rPr>
              <w:t xml:space="preserve">noted as </w:t>
            </w:r>
            <w:r w:rsidR="003C4030" w:rsidRPr="002A3BB5">
              <w:rPr>
                <w:b/>
                <w:bCs/>
              </w:rPr>
              <w:t>follows: -</w:t>
            </w:r>
          </w:p>
          <w:p w14:paraId="2E014F61" w14:textId="1C53B292" w:rsidR="00313EC2" w:rsidRDefault="00313EC2" w:rsidP="00313EC2">
            <w:pPr>
              <w:pStyle w:val="ListParagraph"/>
              <w:numPr>
                <w:ilvl w:val="0"/>
                <w:numId w:val="35"/>
              </w:numPr>
              <w:spacing w:line="278" w:lineRule="auto"/>
            </w:pPr>
            <w:r>
              <w:t xml:space="preserve">Allow pharmacists to make ‘minor’ changed to appropriate alterations (short term) – pharmacists making the right changes for patient care. </w:t>
            </w:r>
          </w:p>
          <w:p w14:paraId="034F04D9" w14:textId="77777777" w:rsidR="00313EC2" w:rsidRDefault="00313EC2" w:rsidP="00313EC2">
            <w:pPr>
              <w:pStyle w:val="ListParagraph"/>
              <w:numPr>
                <w:ilvl w:val="0"/>
                <w:numId w:val="35"/>
              </w:numPr>
              <w:spacing w:line="278" w:lineRule="auto"/>
            </w:pPr>
            <w:r>
              <w:t>Links to trust and mindset and culture of system</w:t>
            </w:r>
          </w:p>
          <w:p w14:paraId="0979ACB0" w14:textId="01D6D286" w:rsidR="00313EC2" w:rsidRPr="00C1742A" w:rsidRDefault="00690A8F" w:rsidP="00313EC2">
            <w:pPr>
              <w:pStyle w:val="ListParagraph"/>
              <w:numPr>
                <w:ilvl w:val="0"/>
                <w:numId w:val="35"/>
              </w:numPr>
              <w:spacing w:line="278" w:lineRule="auto"/>
            </w:pPr>
            <w:r>
              <w:t xml:space="preserve">The work of pharmacy helps prevent </w:t>
            </w:r>
            <w:r w:rsidR="009D1A45">
              <w:t>patients’</w:t>
            </w:r>
            <w:r>
              <w:t xml:space="preserve"> health deteriorating and provides access to patients to medical services</w:t>
            </w:r>
            <w:r w:rsidR="00313EC2">
              <w:t xml:space="preserve"> which saves the system money – stop deterioration</w:t>
            </w:r>
          </w:p>
          <w:p w14:paraId="1279E475" w14:textId="77777777" w:rsidR="00313EC2" w:rsidRPr="00C1742A" w:rsidRDefault="00313EC2" w:rsidP="00313EC2"/>
          <w:p w14:paraId="5F1F519C" w14:textId="5DBE7803" w:rsidR="00C612D4" w:rsidRPr="00CA621E" w:rsidRDefault="00C612D4"/>
        </w:tc>
      </w:tr>
    </w:tbl>
    <w:p w14:paraId="721B9708" w14:textId="77777777" w:rsidR="0072482C" w:rsidRDefault="0072482C" w:rsidP="004130F1">
      <w:pPr>
        <w:spacing w:after="0"/>
      </w:pPr>
    </w:p>
    <w:p w14:paraId="328BB88E" w14:textId="77777777" w:rsidR="0020625F" w:rsidRDefault="0020625F" w:rsidP="004130F1">
      <w:pPr>
        <w:spacing w:after="0"/>
      </w:pPr>
    </w:p>
    <w:sectPr w:rsidR="0020625F">
      <w:head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anice Perkins" w:date="2024-11-29T22:55:00Z" w:initials="JP">
    <w:p w14:paraId="7638C41E" w14:textId="77777777" w:rsidR="00321BA6" w:rsidRDefault="00321BA6" w:rsidP="00321BA6">
      <w:pPr>
        <w:pStyle w:val="CommentText"/>
      </w:pPr>
      <w:r>
        <w:rPr>
          <w:rStyle w:val="CommentReference"/>
        </w:rPr>
        <w:annotationRef/>
      </w:r>
      <w:r>
        <w:t>Is there a way of getting rid of the French accents on the “e”s?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38C4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3370717" w16cex:dateUtc="2024-11-29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38C41E" w16cid:durableId="033707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53AD8" w14:textId="77777777" w:rsidR="009340B8" w:rsidRDefault="009340B8" w:rsidP="00E14CCB">
      <w:pPr>
        <w:spacing w:after="0" w:line="240" w:lineRule="auto"/>
      </w:pPr>
      <w:r>
        <w:separator/>
      </w:r>
    </w:p>
  </w:endnote>
  <w:endnote w:type="continuationSeparator" w:id="0">
    <w:p w14:paraId="6021C160" w14:textId="77777777" w:rsidR="009340B8" w:rsidRDefault="009340B8"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228B0" w14:textId="77777777" w:rsidR="009340B8" w:rsidRDefault="009340B8" w:rsidP="00E14CCB">
      <w:pPr>
        <w:spacing w:after="0" w:line="240" w:lineRule="auto"/>
      </w:pPr>
      <w:r>
        <w:separator/>
      </w:r>
    </w:p>
  </w:footnote>
  <w:footnote w:type="continuationSeparator" w:id="0">
    <w:p w14:paraId="28EFAC38" w14:textId="77777777" w:rsidR="009340B8" w:rsidRDefault="009340B8"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D312C" w14:textId="18AF1A2B"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7C43"/>
    <w:multiLevelType w:val="hybridMultilevel"/>
    <w:tmpl w:val="2B24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841659"/>
    <w:multiLevelType w:val="hybridMultilevel"/>
    <w:tmpl w:val="15EC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6007A"/>
    <w:multiLevelType w:val="multilevel"/>
    <w:tmpl w:val="1032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421E95"/>
    <w:multiLevelType w:val="multilevel"/>
    <w:tmpl w:val="D77E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863FEF"/>
    <w:multiLevelType w:val="multilevel"/>
    <w:tmpl w:val="C738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9C7E1C"/>
    <w:multiLevelType w:val="hybridMultilevel"/>
    <w:tmpl w:val="866439AE"/>
    <w:lvl w:ilvl="0" w:tplc="3CCE12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D00CD"/>
    <w:multiLevelType w:val="hybridMultilevel"/>
    <w:tmpl w:val="2ABE2B44"/>
    <w:lvl w:ilvl="0" w:tplc="A3C06BC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C6A4FB7"/>
    <w:multiLevelType w:val="hybridMultilevel"/>
    <w:tmpl w:val="E838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7457A"/>
    <w:multiLevelType w:val="multilevel"/>
    <w:tmpl w:val="1C704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D270B"/>
    <w:multiLevelType w:val="hybridMultilevel"/>
    <w:tmpl w:val="248A0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CA4089"/>
    <w:multiLevelType w:val="multilevel"/>
    <w:tmpl w:val="F9CE0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CE0158"/>
    <w:multiLevelType w:val="hybridMultilevel"/>
    <w:tmpl w:val="7B96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E678C"/>
    <w:multiLevelType w:val="hybridMultilevel"/>
    <w:tmpl w:val="00F6218E"/>
    <w:lvl w:ilvl="0" w:tplc="9A820F1C">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D1A7B"/>
    <w:multiLevelType w:val="multilevel"/>
    <w:tmpl w:val="090C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4270D3"/>
    <w:multiLevelType w:val="multilevel"/>
    <w:tmpl w:val="21E8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00A19"/>
    <w:multiLevelType w:val="multilevel"/>
    <w:tmpl w:val="3082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0C06AD"/>
    <w:multiLevelType w:val="multilevel"/>
    <w:tmpl w:val="74D2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5430DF"/>
    <w:multiLevelType w:val="multilevel"/>
    <w:tmpl w:val="2EDE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607C64"/>
    <w:multiLevelType w:val="hybridMultilevel"/>
    <w:tmpl w:val="BA6E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C53478"/>
    <w:multiLevelType w:val="multilevel"/>
    <w:tmpl w:val="51E2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87193C"/>
    <w:multiLevelType w:val="multilevel"/>
    <w:tmpl w:val="90FA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6A489F"/>
    <w:multiLevelType w:val="multilevel"/>
    <w:tmpl w:val="7CE6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7C33C0"/>
    <w:multiLevelType w:val="hybridMultilevel"/>
    <w:tmpl w:val="F8D21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1A1A91"/>
    <w:multiLevelType w:val="hybridMultilevel"/>
    <w:tmpl w:val="DD48C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F30084"/>
    <w:multiLevelType w:val="multilevel"/>
    <w:tmpl w:val="DF160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85380401">
    <w:abstractNumId w:val="18"/>
  </w:num>
  <w:num w:numId="2" w16cid:durableId="207030960">
    <w:abstractNumId w:val="24"/>
  </w:num>
  <w:num w:numId="3" w16cid:durableId="1343433788">
    <w:abstractNumId w:val="28"/>
  </w:num>
  <w:num w:numId="4" w16cid:durableId="1523982225">
    <w:abstractNumId w:val="32"/>
  </w:num>
  <w:num w:numId="5" w16cid:durableId="888109509">
    <w:abstractNumId w:val="2"/>
  </w:num>
  <w:num w:numId="6" w16cid:durableId="1379166248">
    <w:abstractNumId w:val="6"/>
  </w:num>
  <w:num w:numId="7" w16cid:durableId="477116189">
    <w:abstractNumId w:val="1"/>
  </w:num>
  <w:num w:numId="8" w16cid:durableId="61175954">
    <w:abstractNumId w:val="21"/>
  </w:num>
  <w:num w:numId="9" w16cid:durableId="571895597">
    <w:abstractNumId w:val="29"/>
  </w:num>
  <w:num w:numId="10" w16cid:durableId="16349256">
    <w:abstractNumId w:val="13"/>
  </w:num>
  <w:num w:numId="11" w16cid:durableId="1911959645">
    <w:abstractNumId w:val="3"/>
  </w:num>
  <w:num w:numId="12" w16cid:durableId="930119032">
    <w:abstractNumId w:val="34"/>
  </w:num>
  <w:num w:numId="13" w16cid:durableId="1716659920">
    <w:abstractNumId w:val="33"/>
  </w:num>
  <w:num w:numId="14" w16cid:durableId="1008796956">
    <w:abstractNumId w:val="9"/>
  </w:num>
  <w:num w:numId="15" w16cid:durableId="803356695">
    <w:abstractNumId w:val="10"/>
  </w:num>
  <w:num w:numId="16" w16cid:durableId="7954821">
    <w:abstractNumId w:val="14"/>
  </w:num>
  <w:num w:numId="17" w16cid:durableId="357048134">
    <w:abstractNumId w:val="15"/>
  </w:num>
  <w:num w:numId="18" w16cid:durableId="2113163446">
    <w:abstractNumId w:val="30"/>
  </w:num>
  <w:num w:numId="19" w16cid:durableId="1191264414">
    <w:abstractNumId w:val="12"/>
  </w:num>
  <w:num w:numId="20" w16cid:durableId="872108541">
    <w:abstractNumId w:val="35"/>
  </w:num>
  <w:num w:numId="21" w16cid:durableId="111169391">
    <w:abstractNumId w:val="31"/>
  </w:num>
  <w:num w:numId="22" w16cid:durableId="1636445947">
    <w:abstractNumId w:val="27"/>
  </w:num>
  <w:num w:numId="23" w16cid:durableId="1664774512">
    <w:abstractNumId w:val="19"/>
  </w:num>
  <w:num w:numId="24" w16cid:durableId="1350063972">
    <w:abstractNumId w:val="20"/>
  </w:num>
  <w:num w:numId="25" w16cid:durableId="102655831">
    <w:abstractNumId w:val="23"/>
  </w:num>
  <w:num w:numId="26" w16cid:durableId="566231323">
    <w:abstractNumId w:val="7"/>
  </w:num>
  <w:num w:numId="27" w16cid:durableId="1466579412">
    <w:abstractNumId w:val="22"/>
  </w:num>
  <w:num w:numId="28" w16cid:durableId="1245455734">
    <w:abstractNumId w:val="17"/>
  </w:num>
  <w:num w:numId="29" w16cid:durableId="2111468549">
    <w:abstractNumId w:val="16"/>
  </w:num>
  <w:num w:numId="30" w16cid:durableId="861628113">
    <w:abstractNumId w:val="11"/>
  </w:num>
  <w:num w:numId="31" w16cid:durableId="1949002245">
    <w:abstractNumId w:val="5"/>
  </w:num>
  <w:num w:numId="32" w16cid:durableId="736443611">
    <w:abstractNumId w:val="25"/>
  </w:num>
  <w:num w:numId="33" w16cid:durableId="1370954458">
    <w:abstractNumId w:val="8"/>
  </w:num>
  <w:num w:numId="34" w16cid:durableId="1817838290">
    <w:abstractNumId w:val="26"/>
  </w:num>
  <w:num w:numId="35" w16cid:durableId="552351540">
    <w:abstractNumId w:val="4"/>
  </w:num>
  <w:num w:numId="36" w16cid:durableId="13376831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ice Perkins">
    <w15:presenceInfo w15:providerId="Windows Live" w15:userId="15e5f550fac58e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21A24"/>
    <w:rsid w:val="00024749"/>
    <w:rsid w:val="00024F7C"/>
    <w:rsid w:val="00041B7E"/>
    <w:rsid w:val="0004414A"/>
    <w:rsid w:val="00046FE2"/>
    <w:rsid w:val="0005713A"/>
    <w:rsid w:val="00070D06"/>
    <w:rsid w:val="00076F9A"/>
    <w:rsid w:val="000864FE"/>
    <w:rsid w:val="00087631"/>
    <w:rsid w:val="000905CF"/>
    <w:rsid w:val="00096DE7"/>
    <w:rsid w:val="000A0C1D"/>
    <w:rsid w:val="000B43CF"/>
    <w:rsid w:val="000C09F3"/>
    <w:rsid w:val="000C3BA1"/>
    <w:rsid w:val="000C5A09"/>
    <w:rsid w:val="000C7A2D"/>
    <w:rsid w:val="000D6BCA"/>
    <w:rsid w:val="000E0B6A"/>
    <w:rsid w:val="000E4BB0"/>
    <w:rsid w:val="00113E6A"/>
    <w:rsid w:val="00127C28"/>
    <w:rsid w:val="0015099B"/>
    <w:rsid w:val="001527E0"/>
    <w:rsid w:val="001618C4"/>
    <w:rsid w:val="00176C8A"/>
    <w:rsid w:val="001864F2"/>
    <w:rsid w:val="001877DA"/>
    <w:rsid w:val="00193459"/>
    <w:rsid w:val="001972FC"/>
    <w:rsid w:val="001A4300"/>
    <w:rsid w:val="001E764A"/>
    <w:rsid w:val="002006F3"/>
    <w:rsid w:val="00201C2D"/>
    <w:rsid w:val="00203D6B"/>
    <w:rsid w:val="0020625F"/>
    <w:rsid w:val="00206511"/>
    <w:rsid w:val="002153F3"/>
    <w:rsid w:val="002309F5"/>
    <w:rsid w:val="002358F4"/>
    <w:rsid w:val="002374E0"/>
    <w:rsid w:val="002454E3"/>
    <w:rsid w:val="00246364"/>
    <w:rsid w:val="00246A47"/>
    <w:rsid w:val="00246B57"/>
    <w:rsid w:val="00262DBA"/>
    <w:rsid w:val="0026426F"/>
    <w:rsid w:val="00266D97"/>
    <w:rsid w:val="00267351"/>
    <w:rsid w:val="002733BA"/>
    <w:rsid w:val="00275D1B"/>
    <w:rsid w:val="00287D20"/>
    <w:rsid w:val="002929D6"/>
    <w:rsid w:val="00296ACA"/>
    <w:rsid w:val="002A3BB5"/>
    <w:rsid w:val="002A4101"/>
    <w:rsid w:val="002B7F1E"/>
    <w:rsid w:val="002D1B7D"/>
    <w:rsid w:val="002E79F3"/>
    <w:rsid w:val="00313EC2"/>
    <w:rsid w:val="00314536"/>
    <w:rsid w:val="00317CF0"/>
    <w:rsid w:val="00321BA6"/>
    <w:rsid w:val="0032735D"/>
    <w:rsid w:val="00327390"/>
    <w:rsid w:val="00327C7D"/>
    <w:rsid w:val="003343B0"/>
    <w:rsid w:val="00335746"/>
    <w:rsid w:val="00337EF2"/>
    <w:rsid w:val="003407B6"/>
    <w:rsid w:val="00340F20"/>
    <w:rsid w:val="00346E9A"/>
    <w:rsid w:val="00350DFD"/>
    <w:rsid w:val="00372787"/>
    <w:rsid w:val="00372DFA"/>
    <w:rsid w:val="00380528"/>
    <w:rsid w:val="00384591"/>
    <w:rsid w:val="0039114F"/>
    <w:rsid w:val="003B565C"/>
    <w:rsid w:val="003C0113"/>
    <w:rsid w:val="003C4030"/>
    <w:rsid w:val="003D2558"/>
    <w:rsid w:val="003D5513"/>
    <w:rsid w:val="003E37F4"/>
    <w:rsid w:val="00406F24"/>
    <w:rsid w:val="0041014A"/>
    <w:rsid w:val="004130F1"/>
    <w:rsid w:val="004152D5"/>
    <w:rsid w:val="00416B8E"/>
    <w:rsid w:val="004237B3"/>
    <w:rsid w:val="00423FCF"/>
    <w:rsid w:val="00425828"/>
    <w:rsid w:val="004261E6"/>
    <w:rsid w:val="004268F5"/>
    <w:rsid w:val="00427CDD"/>
    <w:rsid w:val="004374D1"/>
    <w:rsid w:val="004435C6"/>
    <w:rsid w:val="0044432F"/>
    <w:rsid w:val="004448D6"/>
    <w:rsid w:val="00444C94"/>
    <w:rsid w:val="00450CA6"/>
    <w:rsid w:val="004524EF"/>
    <w:rsid w:val="004540E4"/>
    <w:rsid w:val="004549B4"/>
    <w:rsid w:val="00461ECB"/>
    <w:rsid w:val="004712F0"/>
    <w:rsid w:val="00476089"/>
    <w:rsid w:val="004A4074"/>
    <w:rsid w:val="004A76F5"/>
    <w:rsid w:val="004B670D"/>
    <w:rsid w:val="004C0646"/>
    <w:rsid w:val="004C40D1"/>
    <w:rsid w:val="004C4897"/>
    <w:rsid w:val="004D503E"/>
    <w:rsid w:val="004E3778"/>
    <w:rsid w:val="004F6BD6"/>
    <w:rsid w:val="005003F6"/>
    <w:rsid w:val="0050304F"/>
    <w:rsid w:val="00505B33"/>
    <w:rsid w:val="0051027F"/>
    <w:rsid w:val="0051127D"/>
    <w:rsid w:val="00520017"/>
    <w:rsid w:val="00527719"/>
    <w:rsid w:val="00530FA9"/>
    <w:rsid w:val="005423F1"/>
    <w:rsid w:val="00552F44"/>
    <w:rsid w:val="00556F7E"/>
    <w:rsid w:val="0055738B"/>
    <w:rsid w:val="0056385B"/>
    <w:rsid w:val="0057039E"/>
    <w:rsid w:val="005845A1"/>
    <w:rsid w:val="005B586C"/>
    <w:rsid w:val="005B76EA"/>
    <w:rsid w:val="005C3A23"/>
    <w:rsid w:val="005E3EA7"/>
    <w:rsid w:val="005E77DC"/>
    <w:rsid w:val="005E7BEC"/>
    <w:rsid w:val="005F0FE2"/>
    <w:rsid w:val="005F7189"/>
    <w:rsid w:val="0060201B"/>
    <w:rsid w:val="006255E1"/>
    <w:rsid w:val="00634AB0"/>
    <w:rsid w:val="00644FF2"/>
    <w:rsid w:val="00655078"/>
    <w:rsid w:val="0069063B"/>
    <w:rsid w:val="00690A8F"/>
    <w:rsid w:val="00691336"/>
    <w:rsid w:val="00692FEC"/>
    <w:rsid w:val="00695DCB"/>
    <w:rsid w:val="006A5670"/>
    <w:rsid w:val="006B0646"/>
    <w:rsid w:val="006B0D1F"/>
    <w:rsid w:val="006C046B"/>
    <w:rsid w:val="006C6C10"/>
    <w:rsid w:val="006C726C"/>
    <w:rsid w:val="006C7D41"/>
    <w:rsid w:val="006D0ABB"/>
    <w:rsid w:val="006E51CE"/>
    <w:rsid w:val="006E566B"/>
    <w:rsid w:val="006F2D7B"/>
    <w:rsid w:val="00703EAA"/>
    <w:rsid w:val="007105CB"/>
    <w:rsid w:val="00716B8E"/>
    <w:rsid w:val="00720920"/>
    <w:rsid w:val="007232A5"/>
    <w:rsid w:val="00724529"/>
    <w:rsid w:val="0072482C"/>
    <w:rsid w:val="007307E1"/>
    <w:rsid w:val="00737D3D"/>
    <w:rsid w:val="00744E3F"/>
    <w:rsid w:val="007574CE"/>
    <w:rsid w:val="00764B07"/>
    <w:rsid w:val="00765003"/>
    <w:rsid w:val="0077311F"/>
    <w:rsid w:val="00776282"/>
    <w:rsid w:val="00783A0E"/>
    <w:rsid w:val="007913BF"/>
    <w:rsid w:val="00793075"/>
    <w:rsid w:val="00794790"/>
    <w:rsid w:val="007A3441"/>
    <w:rsid w:val="007B312E"/>
    <w:rsid w:val="007C0870"/>
    <w:rsid w:val="007C35CF"/>
    <w:rsid w:val="007E0201"/>
    <w:rsid w:val="007E1598"/>
    <w:rsid w:val="007E3B64"/>
    <w:rsid w:val="007E5BEC"/>
    <w:rsid w:val="007E7E72"/>
    <w:rsid w:val="007F3432"/>
    <w:rsid w:val="007F69C7"/>
    <w:rsid w:val="00803EBE"/>
    <w:rsid w:val="00813BB7"/>
    <w:rsid w:val="00825D93"/>
    <w:rsid w:val="008333F8"/>
    <w:rsid w:val="00833407"/>
    <w:rsid w:val="00836EE8"/>
    <w:rsid w:val="0085262A"/>
    <w:rsid w:val="00852BE8"/>
    <w:rsid w:val="0085597B"/>
    <w:rsid w:val="00855A0F"/>
    <w:rsid w:val="00856CD0"/>
    <w:rsid w:val="00864D37"/>
    <w:rsid w:val="00873222"/>
    <w:rsid w:val="00873290"/>
    <w:rsid w:val="008749C4"/>
    <w:rsid w:val="0088199B"/>
    <w:rsid w:val="00882FCD"/>
    <w:rsid w:val="00883ACF"/>
    <w:rsid w:val="008927DB"/>
    <w:rsid w:val="008A09AD"/>
    <w:rsid w:val="008B1296"/>
    <w:rsid w:val="008B3EF2"/>
    <w:rsid w:val="008C5ED9"/>
    <w:rsid w:val="008E389E"/>
    <w:rsid w:val="00900EE5"/>
    <w:rsid w:val="00906068"/>
    <w:rsid w:val="00907617"/>
    <w:rsid w:val="0091116D"/>
    <w:rsid w:val="0091423A"/>
    <w:rsid w:val="0093351D"/>
    <w:rsid w:val="009340B8"/>
    <w:rsid w:val="009644BF"/>
    <w:rsid w:val="0096798E"/>
    <w:rsid w:val="00975A5D"/>
    <w:rsid w:val="00990A5F"/>
    <w:rsid w:val="009A08EA"/>
    <w:rsid w:val="009A7AAB"/>
    <w:rsid w:val="009B0B9D"/>
    <w:rsid w:val="009B11FA"/>
    <w:rsid w:val="009C47DB"/>
    <w:rsid w:val="009D1A45"/>
    <w:rsid w:val="00A21384"/>
    <w:rsid w:val="00A2207F"/>
    <w:rsid w:val="00A60E8E"/>
    <w:rsid w:val="00A75C94"/>
    <w:rsid w:val="00A7778E"/>
    <w:rsid w:val="00A94A2E"/>
    <w:rsid w:val="00A95EA2"/>
    <w:rsid w:val="00AA3C36"/>
    <w:rsid w:val="00AB2248"/>
    <w:rsid w:val="00AB2987"/>
    <w:rsid w:val="00AC0548"/>
    <w:rsid w:val="00AC1F15"/>
    <w:rsid w:val="00AC7955"/>
    <w:rsid w:val="00AD17D0"/>
    <w:rsid w:val="00AE677B"/>
    <w:rsid w:val="00AF3A39"/>
    <w:rsid w:val="00B01DCF"/>
    <w:rsid w:val="00B15545"/>
    <w:rsid w:val="00B15B95"/>
    <w:rsid w:val="00B27D84"/>
    <w:rsid w:val="00B34421"/>
    <w:rsid w:val="00B37F63"/>
    <w:rsid w:val="00B4093D"/>
    <w:rsid w:val="00B41BE6"/>
    <w:rsid w:val="00B44BEF"/>
    <w:rsid w:val="00B51E9C"/>
    <w:rsid w:val="00B52948"/>
    <w:rsid w:val="00B54907"/>
    <w:rsid w:val="00B653A2"/>
    <w:rsid w:val="00B67A48"/>
    <w:rsid w:val="00B71420"/>
    <w:rsid w:val="00B71D0D"/>
    <w:rsid w:val="00B746EA"/>
    <w:rsid w:val="00B857D5"/>
    <w:rsid w:val="00B85BEE"/>
    <w:rsid w:val="00B95E6F"/>
    <w:rsid w:val="00BC272F"/>
    <w:rsid w:val="00BC5A69"/>
    <w:rsid w:val="00BD0AD6"/>
    <w:rsid w:val="00BD11BC"/>
    <w:rsid w:val="00BD2248"/>
    <w:rsid w:val="00BE5822"/>
    <w:rsid w:val="00BF5B3B"/>
    <w:rsid w:val="00BF71F9"/>
    <w:rsid w:val="00C0229B"/>
    <w:rsid w:val="00C03D08"/>
    <w:rsid w:val="00C16790"/>
    <w:rsid w:val="00C2084A"/>
    <w:rsid w:val="00C2595E"/>
    <w:rsid w:val="00C35C46"/>
    <w:rsid w:val="00C50470"/>
    <w:rsid w:val="00C56277"/>
    <w:rsid w:val="00C5682A"/>
    <w:rsid w:val="00C607EE"/>
    <w:rsid w:val="00C612D4"/>
    <w:rsid w:val="00C77D73"/>
    <w:rsid w:val="00C834C9"/>
    <w:rsid w:val="00C90D6E"/>
    <w:rsid w:val="00C9234F"/>
    <w:rsid w:val="00C93164"/>
    <w:rsid w:val="00C96523"/>
    <w:rsid w:val="00CA0CBC"/>
    <w:rsid w:val="00CA0CD2"/>
    <w:rsid w:val="00CA4263"/>
    <w:rsid w:val="00CA621E"/>
    <w:rsid w:val="00CB0623"/>
    <w:rsid w:val="00CB4008"/>
    <w:rsid w:val="00CB68B7"/>
    <w:rsid w:val="00CE0156"/>
    <w:rsid w:val="00CE1007"/>
    <w:rsid w:val="00CF0B7F"/>
    <w:rsid w:val="00CF192F"/>
    <w:rsid w:val="00CF2522"/>
    <w:rsid w:val="00CF490F"/>
    <w:rsid w:val="00D12E6B"/>
    <w:rsid w:val="00D132B8"/>
    <w:rsid w:val="00D14202"/>
    <w:rsid w:val="00D174E5"/>
    <w:rsid w:val="00D270F7"/>
    <w:rsid w:val="00D43CB3"/>
    <w:rsid w:val="00D454EF"/>
    <w:rsid w:val="00D560DC"/>
    <w:rsid w:val="00D753D3"/>
    <w:rsid w:val="00D77BC8"/>
    <w:rsid w:val="00D949D6"/>
    <w:rsid w:val="00D97E95"/>
    <w:rsid w:val="00DA48C2"/>
    <w:rsid w:val="00DA4F1C"/>
    <w:rsid w:val="00DB05F0"/>
    <w:rsid w:val="00DB2E68"/>
    <w:rsid w:val="00DC20FA"/>
    <w:rsid w:val="00DC3BAA"/>
    <w:rsid w:val="00DD0704"/>
    <w:rsid w:val="00DD7B2D"/>
    <w:rsid w:val="00DE25CA"/>
    <w:rsid w:val="00E049D5"/>
    <w:rsid w:val="00E14CCB"/>
    <w:rsid w:val="00E22779"/>
    <w:rsid w:val="00E336D7"/>
    <w:rsid w:val="00E33D09"/>
    <w:rsid w:val="00E34166"/>
    <w:rsid w:val="00E35119"/>
    <w:rsid w:val="00E60376"/>
    <w:rsid w:val="00E84C58"/>
    <w:rsid w:val="00E84FB0"/>
    <w:rsid w:val="00E90189"/>
    <w:rsid w:val="00E963C8"/>
    <w:rsid w:val="00EA01DF"/>
    <w:rsid w:val="00EA7C08"/>
    <w:rsid w:val="00EB3A46"/>
    <w:rsid w:val="00EB71B4"/>
    <w:rsid w:val="00EC55EE"/>
    <w:rsid w:val="00ED0152"/>
    <w:rsid w:val="00ED2B68"/>
    <w:rsid w:val="00ED4E05"/>
    <w:rsid w:val="00ED7E0A"/>
    <w:rsid w:val="00EE2BE9"/>
    <w:rsid w:val="00EF00D1"/>
    <w:rsid w:val="00EF169A"/>
    <w:rsid w:val="00F13470"/>
    <w:rsid w:val="00F27759"/>
    <w:rsid w:val="00F41A50"/>
    <w:rsid w:val="00F41DFD"/>
    <w:rsid w:val="00F446AB"/>
    <w:rsid w:val="00F50D96"/>
    <w:rsid w:val="00F57CA6"/>
    <w:rsid w:val="00F57DAE"/>
    <w:rsid w:val="00F600A6"/>
    <w:rsid w:val="00F63C83"/>
    <w:rsid w:val="00F708E4"/>
    <w:rsid w:val="00F76B78"/>
    <w:rsid w:val="00FA1BA1"/>
    <w:rsid w:val="00FA408B"/>
    <w:rsid w:val="00FA7E78"/>
    <w:rsid w:val="00FB49FA"/>
    <w:rsid w:val="00FC780E"/>
    <w:rsid w:val="00FD4FBA"/>
    <w:rsid w:val="00FE4C3F"/>
    <w:rsid w:val="00FE7249"/>
    <w:rsid w:val="00FE789D"/>
    <w:rsid w:val="00FF3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6E57BFFA-85B2-492E-BB21-FC0FD543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2F"/>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styleId="UnresolvedMention">
    <w:name w:val="Unresolved Mention"/>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paragraph" w:customStyle="1" w:styleId="Default">
    <w:name w:val="Default"/>
    <w:rsid w:val="0091116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E79F3"/>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75A5D"/>
    <w:rPr>
      <w:color w:val="954F72" w:themeColor="followedHyperlink"/>
      <w:u w:val="single"/>
    </w:rPr>
  </w:style>
  <w:style w:type="paragraph" w:customStyle="1" w:styleId="xxmsonormal">
    <w:name w:val="x_xmsonormal"/>
    <w:basedOn w:val="Normal"/>
    <w:rsid w:val="005E7BEC"/>
    <w:pPr>
      <w:spacing w:after="0" w:line="240" w:lineRule="auto"/>
    </w:pPr>
    <w:rPr>
      <w:rFonts w:ascii="Calibri" w:hAnsi="Calibri" w:cs="Calibri"/>
      <w:lang w:eastAsia="en-GB"/>
    </w:rPr>
  </w:style>
  <w:style w:type="paragraph" w:customStyle="1" w:styleId="xxxxxmsonormal">
    <w:name w:val="x_x_x_x_x_msonormal"/>
    <w:basedOn w:val="Normal"/>
    <w:rsid w:val="00A7778E"/>
    <w:pPr>
      <w:spacing w:after="0" w:line="240" w:lineRule="auto"/>
    </w:pPr>
    <w:rPr>
      <w:rFonts w:ascii="Calibri" w:hAnsi="Calibri" w:cs="Calibri"/>
      <w:lang w:eastAsia="en-GB"/>
    </w:rPr>
  </w:style>
  <w:style w:type="paragraph" w:customStyle="1" w:styleId="xmsonormal">
    <w:name w:val="x_msonormal"/>
    <w:basedOn w:val="Normal"/>
    <w:rsid w:val="00B4093D"/>
    <w:pPr>
      <w:spacing w:after="0" w:line="240" w:lineRule="auto"/>
    </w:pPr>
    <w:rPr>
      <w:rFonts w:ascii="Calibri" w:hAnsi="Calibri" w:cs="Calibri"/>
      <w:lang w:eastAsia="en-GB"/>
    </w:rPr>
  </w:style>
  <w:style w:type="paragraph" w:customStyle="1" w:styleId="paragraph">
    <w:name w:val="paragraph"/>
    <w:basedOn w:val="Normal"/>
    <w:rsid w:val="00E341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4166"/>
  </w:style>
  <w:style w:type="character" w:customStyle="1" w:styleId="eop">
    <w:name w:val="eop"/>
    <w:basedOn w:val="DefaultParagraphFont"/>
    <w:rsid w:val="00E34166"/>
  </w:style>
  <w:style w:type="character" w:customStyle="1" w:styleId="spellingerror">
    <w:name w:val="spellingerror"/>
    <w:basedOn w:val="DefaultParagraphFont"/>
    <w:rsid w:val="00E34166"/>
  </w:style>
  <w:style w:type="character" w:customStyle="1" w:styleId="scxw176877214">
    <w:name w:val="scxw176877214"/>
    <w:basedOn w:val="DefaultParagraphFont"/>
    <w:rsid w:val="00E34166"/>
  </w:style>
  <w:style w:type="character" w:customStyle="1" w:styleId="contextualspellingandgrammarerror">
    <w:name w:val="contextualspellingandgrammarerror"/>
    <w:basedOn w:val="DefaultParagraphFont"/>
    <w:rsid w:val="00E34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4389">
      <w:bodyDiv w:val="1"/>
      <w:marLeft w:val="0"/>
      <w:marRight w:val="0"/>
      <w:marTop w:val="0"/>
      <w:marBottom w:val="0"/>
      <w:divBdr>
        <w:top w:val="none" w:sz="0" w:space="0" w:color="auto"/>
        <w:left w:val="none" w:sz="0" w:space="0" w:color="auto"/>
        <w:bottom w:val="none" w:sz="0" w:space="0" w:color="auto"/>
        <w:right w:val="none" w:sz="0" w:space="0" w:color="auto"/>
      </w:divBdr>
    </w:div>
    <w:div w:id="49883785">
      <w:bodyDiv w:val="1"/>
      <w:marLeft w:val="0"/>
      <w:marRight w:val="0"/>
      <w:marTop w:val="0"/>
      <w:marBottom w:val="0"/>
      <w:divBdr>
        <w:top w:val="none" w:sz="0" w:space="0" w:color="auto"/>
        <w:left w:val="none" w:sz="0" w:space="0" w:color="auto"/>
        <w:bottom w:val="none" w:sz="0" w:space="0" w:color="auto"/>
        <w:right w:val="none" w:sz="0" w:space="0" w:color="auto"/>
      </w:divBdr>
    </w:div>
    <w:div w:id="118694514">
      <w:bodyDiv w:val="1"/>
      <w:marLeft w:val="0"/>
      <w:marRight w:val="0"/>
      <w:marTop w:val="0"/>
      <w:marBottom w:val="0"/>
      <w:divBdr>
        <w:top w:val="none" w:sz="0" w:space="0" w:color="auto"/>
        <w:left w:val="none" w:sz="0" w:space="0" w:color="auto"/>
        <w:bottom w:val="none" w:sz="0" w:space="0" w:color="auto"/>
        <w:right w:val="none" w:sz="0" w:space="0" w:color="auto"/>
      </w:divBdr>
      <w:divsChild>
        <w:div w:id="168957756">
          <w:marLeft w:val="0"/>
          <w:marRight w:val="0"/>
          <w:marTop w:val="0"/>
          <w:marBottom w:val="0"/>
          <w:divBdr>
            <w:top w:val="none" w:sz="0" w:space="0" w:color="auto"/>
            <w:left w:val="none" w:sz="0" w:space="0" w:color="auto"/>
            <w:bottom w:val="none" w:sz="0" w:space="0" w:color="auto"/>
            <w:right w:val="none" w:sz="0" w:space="0" w:color="auto"/>
          </w:divBdr>
        </w:div>
        <w:div w:id="107050991">
          <w:marLeft w:val="0"/>
          <w:marRight w:val="0"/>
          <w:marTop w:val="0"/>
          <w:marBottom w:val="0"/>
          <w:divBdr>
            <w:top w:val="none" w:sz="0" w:space="0" w:color="auto"/>
            <w:left w:val="none" w:sz="0" w:space="0" w:color="auto"/>
            <w:bottom w:val="none" w:sz="0" w:space="0" w:color="auto"/>
            <w:right w:val="none" w:sz="0" w:space="0" w:color="auto"/>
          </w:divBdr>
        </w:div>
        <w:div w:id="758217839">
          <w:marLeft w:val="0"/>
          <w:marRight w:val="0"/>
          <w:marTop w:val="0"/>
          <w:marBottom w:val="0"/>
          <w:divBdr>
            <w:top w:val="none" w:sz="0" w:space="0" w:color="auto"/>
            <w:left w:val="none" w:sz="0" w:space="0" w:color="auto"/>
            <w:bottom w:val="none" w:sz="0" w:space="0" w:color="auto"/>
            <w:right w:val="none" w:sz="0" w:space="0" w:color="auto"/>
          </w:divBdr>
        </w:div>
        <w:div w:id="1830974381">
          <w:marLeft w:val="0"/>
          <w:marRight w:val="0"/>
          <w:marTop w:val="0"/>
          <w:marBottom w:val="0"/>
          <w:divBdr>
            <w:top w:val="none" w:sz="0" w:space="0" w:color="auto"/>
            <w:left w:val="none" w:sz="0" w:space="0" w:color="auto"/>
            <w:bottom w:val="none" w:sz="0" w:space="0" w:color="auto"/>
            <w:right w:val="none" w:sz="0" w:space="0" w:color="auto"/>
          </w:divBdr>
        </w:div>
        <w:div w:id="1415936072">
          <w:marLeft w:val="0"/>
          <w:marRight w:val="0"/>
          <w:marTop w:val="0"/>
          <w:marBottom w:val="0"/>
          <w:divBdr>
            <w:top w:val="none" w:sz="0" w:space="0" w:color="auto"/>
            <w:left w:val="none" w:sz="0" w:space="0" w:color="auto"/>
            <w:bottom w:val="none" w:sz="0" w:space="0" w:color="auto"/>
            <w:right w:val="none" w:sz="0" w:space="0" w:color="auto"/>
          </w:divBdr>
        </w:div>
        <w:div w:id="608319691">
          <w:marLeft w:val="0"/>
          <w:marRight w:val="0"/>
          <w:marTop w:val="0"/>
          <w:marBottom w:val="0"/>
          <w:divBdr>
            <w:top w:val="none" w:sz="0" w:space="0" w:color="auto"/>
            <w:left w:val="none" w:sz="0" w:space="0" w:color="auto"/>
            <w:bottom w:val="none" w:sz="0" w:space="0" w:color="auto"/>
            <w:right w:val="none" w:sz="0" w:space="0" w:color="auto"/>
          </w:divBdr>
        </w:div>
        <w:div w:id="812021959">
          <w:marLeft w:val="0"/>
          <w:marRight w:val="0"/>
          <w:marTop w:val="0"/>
          <w:marBottom w:val="0"/>
          <w:divBdr>
            <w:top w:val="none" w:sz="0" w:space="0" w:color="auto"/>
            <w:left w:val="none" w:sz="0" w:space="0" w:color="auto"/>
            <w:bottom w:val="none" w:sz="0" w:space="0" w:color="auto"/>
            <w:right w:val="none" w:sz="0" w:space="0" w:color="auto"/>
          </w:divBdr>
        </w:div>
        <w:div w:id="201477902">
          <w:marLeft w:val="0"/>
          <w:marRight w:val="0"/>
          <w:marTop w:val="0"/>
          <w:marBottom w:val="0"/>
          <w:divBdr>
            <w:top w:val="none" w:sz="0" w:space="0" w:color="auto"/>
            <w:left w:val="none" w:sz="0" w:space="0" w:color="auto"/>
            <w:bottom w:val="none" w:sz="0" w:space="0" w:color="auto"/>
            <w:right w:val="none" w:sz="0" w:space="0" w:color="auto"/>
          </w:divBdr>
        </w:div>
        <w:div w:id="1928343886">
          <w:marLeft w:val="0"/>
          <w:marRight w:val="0"/>
          <w:marTop w:val="0"/>
          <w:marBottom w:val="0"/>
          <w:divBdr>
            <w:top w:val="none" w:sz="0" w:space="0" w:color="auto"/>
            <w:left w:val="none" w:sz="0" w:space="0" w:color="auto"/>
            <w:bottom w:val="none" w:sz="0" w:space="0" w:color="auto"/>
            <w:right w:val="none" w:sz="0" w:space="0" w:color="auto"/>
          </w:divBdr>
        </w:div>
        <w:div w:id="324548979">
          <w:marLeft w:val="0"/>
          <w:marRight w:val="0"/>
          <w:marTop w:val="0"/>
          <w:marBottom w:val="0"/>
          <w:divBdr>
            <w:top w:val="none" w:sz="0" w:space="0" w:color="auto"/>
            <w:left w:val="none" w:sz="0" w:space="0" w:color="auto"/>
            <w:bottom w:val="none" w:sz="0" w:space="0" w:color="auto"/>
            <w:right w:val="none" w:sz="0" w:space="0" w:color="auto"/>
          </w:divBdr>
        </w:div>
        <w:div w:id="223224873">
          <w:marLeft w:val="0"/>
          <w:marRight w:val="0"/>
          <w:marTop w:val="0"/>
          <w:marBottom w:val="0"/>
          <w:divBdr>
            <w:top w:val="none" w:sz="0" w:space="0" w:color="auto"/>
            <w:left w:val="none" w:sz="0" w:space="0" w:color="auto"/>
            <w:bottom w:val="none" w:sz="0" w:space="0" w:color="auto"/>
            <w:right w:val="none" w:sz="0" w:space="0" w:color="auto"/>
          </w:divBdr>
        </w:div>
        <w:div w:id="1412893749">
          <w:marLeft w:val="0"/>
          <w:marRight w:val="0"/>
          <w:marTop w:val="0"/>
          <w:marBottom w:val="0"/>
          <w:divBdr>
            <w:top w:val="none" w:sz="0" w:space="0" w:color="auto"/>
            <w:left w:val="none" w:sz="0" w:space="0" w:color="auto"/>
            <w:bottom w:val="none" w:sz="0" w:space="0" w:color="auto"/>
            <w:right w:val="none" w:sz="0" w:space="0" w:color="auto"/>
          </w:divBdr>
        </w:div>
        <w:div w:id="1361667056">
          <w:marLeft w:val="0"/>
          <w:marRight w:val="0"/>
          <w:marTop w:val="0"/>
          <w:marBottom w:val="0"/>
          <w:divBdr>
            <w:top w:val="none" w:sz="0" w:space="0" w:color="auto"/>
            <w:left w:val="none" w:sz="0" w:space="0" w:color="auto"/>
            <w:bottom w:val="none" w:sz="0" w:space="0" w:color="auto"/>
            <w:right w:val="none" w:sz="0" w:space="0" w:color="auto"/>
          </w:divBdr>
        </w:div>
        <w:div w:id="419449738">
          <w:marLeft w:val="0"/>
          <w:marRight w:val="0"/>
          <w:marTop w:val="0"/>
          <w:marBottom w:val="0"/>
          <w:divBdr>
            <w:top w:val="none" w:sz="0" w:space="0" w:color="auto"/>
            <w:left w:val="none" w:sz="0" w:space="0" w:color="auto"/>
            <w:bottom w:val="none" w:sz="0" w:space="0" w:color="auto"/>
            <w:right w:val="none" w:sz="0" w:space="0" w:color="auto"/>
          </w:divBdr>
        </w:div>
        <w:div w:id="449402160">
          <w:marLeft w:val="0"/>
          <w:marRight w:val="0"/>
          <w:marTop w:val="0"/>
          <w:marBottom w:val="0"/>
          <w:divBdr>
            <w:top w:val="none" w:sz="0" w:space="0" w:color="auto"/>
            <w:left w:val="none" w:sz="0" w:space="0" w:color="auto"/>
            <w:bottom w:val="none" w:sz="0" w:space="0" w:color="auto"/>
            <w:right w:val="none" w:sz="0" w:space="0" w:color="auto"/>
          </w:divBdr>
        </w:div>
        <w:div w:id="649407966">
          <w:marLeft w:val="0"/>
          <w:marRight w:val="0"/>
          <w:marTop w:val="0"/>
          <w:marBottom w:val="0"/>
          <w:divBdr>
            <w:top w:val="none" w:sz="0" w:space="0" w:color="auto"/>
            <w:left w:val="none" w:sz="0" w:space="0" w:color="auto"/>
            <w:bottom w:val="none" w:sz="0" w:space="0" w:color="auto"/>
            <w:right w:val="none" w:sz="0" w:space="0" w:color="auto"/>
          </w:divBdr>
        </w:div>
        <w:div w:id="1127049936">
          <w:marLeft w:val="0"/>
          <w:marRight w:val="0"/>
          <w:marTop w:val="0"/>
          <w:marBottom w:val="0"/>
          <w:divBdr>
            <w:top w:val="none" w:sz="0" w:space="0" w:color="auto"/>
            <w:left w:val="none" w:sz="0" w:space="0" w:color="auto"/>
            <w:bottom w:val="none" w:sz="0" w:space="0" w:color="auto"/>
            <w:right w:val="none" w:sz="0" w:space="0" w:color="auto"/>
          </w:divBdr>
        </w:div>
        <w:div w:id="1614170130">
          <w:marLeft w:val="0"/>
          <w:marRight w:val="0"/>
          <w:marTop w:val="0"/>
          <w:marBottom w:val="0"/>
          <w:divBdr>
            <w:top w:val="none" w:sz="0" w:space="0" w:color="auto"/>
            <w:left w:val="none" w:sz="0" w:space="0" w:color="auto"/>
            <w:bottom w:val="none" w:sz="0" w:space="0" w:color="auto"/>
            <w:right w:val="none" w:sz="0" w:space="0" w:color="auto"/>
          </w:divBdr>
        </w:div>
        <w:div w:id="1955287059">
          <w:marLeft w:val="0"/>
          <w:marRight w:val="0"/>
          <w:marTop w:val="0"/>
          <w:marBottom w:val="0"/>
          <w:divBdr>
            <w:top w:val="none" w:sz="0" w:space="0" w:color="auto"/>
            <w:left w:val="none" w:sz="0" w:space="0" w:color="auto"/>
            <w:bottom w:val="none" w:sz="0" w:space="0" w:color="auto"/>
            <w:right w:val="none" w:sz="0" w:space="0" w:color="auto"/>
          </w:divBdr>
        </w:div>
      </w:divsChild>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183590770">
      <w:bodyDiv w:val="1"/>
      <w:marLeft w:val="0"/>
      <w:marRight w:val="0"/>
      <w:marTop w:val="0"/>
      <w:marBottom w:val="0"/>
      <w:divBdr>
        <w:top w:val="none" w:sz="0" w:space="0" w:color="auto"/>
        <w:left w:val="none" w:sz="0" w:space="0" w:color="auto"/>
        <w:bottom w:val="none" w:sz="0" w:space="0" w:color="auto"/>
        <w:right w:val="none" w:sz="0" w:space="0" w:color="auto"/>
      </w:divBdr>
    </w:div>
    <w:div w:id="254284995">
      <w:bodyDiv w:val="1"/>
      <w:marLeft w:val="0"/>
      <w:marRight w:val="0"/>
      <w:marTop w:val="0"/>
      <w:marBottom w:val="0"/>
      <w:divBdr>
        <w:top w:val="none" w:sz="0" w:space="0" w:color="auto"/>
        <w:left w:val="none" w:sz="0" w:space="0" w:color="auto"/>
        <w:bottom w:val="none" w:sz="0" w:space="0" w:color="auto"/>
        <w:right w:val="none" w:sz="0" w:space="0" w:color="auto"/>
      </w:divBdr>
    </w:div>
    <w:div w:id="303197561">
      <w:bodyDiv w:val="1"/>
      <w:marLeft w:val="0"/>
      <w:marRight w:val="0"/>
      <w:marTop w:val="0"/>
      <w:marBottom w:val="0"/>
      <w:divBdr>
        <w:top w:val="none" w:sz="0" w:space="0" w:color="auto"/>
        <w:left w:val="none" w:sz="0" w:space="0" w:color="auto"/>
        <w:bottom w:val="none" w:sz="0" w:space="0" w:color="auto"/>
        <w:right w:val="none" w:sz="0" w:space="0" w:color="auto"/>
      </w:divBdr>
    </w:div>
    <w:div w:id="404037575">
      <w:bodyDiv w:val="1"/>
      <w:marLeft w:val="0"/>
      <w:marRight w:val="0"/>
      <w:marTop w:val="0"/>
      <w:marBottom w:val="0"/>
      <w:divBdr>
        <w:top w:val="none" w:sz="0" w:space="0" w:color="auto"/>
        <w:left w:val="none" w:sz="0" w:space="0" w:color="auto"/>
        <w:bottom w:val="none" w:sz="0" w:space="0" w:color="auto"/>
        <w:right w:val="none" w:sz="0" w:space="0" w:color="auto"/>
      </w:divBdr>
    </w:div>
    <w:div w:id="454956518">
      <w:bodyDiv w:val="1"/>
      <w:marLeft w:val="0"/>
      <w:marRight w:val="0"/>
      <w:marTop w:val="0"/>
      <w:marBottom w:val="0"/>
      <w:divBdr>
        <w:top w:val="none" w:sz="0" w:space="0" w:color="auto"/>
        <w:left w:val="none" w:sz="0" w:space="0" w:color="auto"/>
        <w:bottom w:val="none" w:sz="0" w:space="0" w:color="auto"/>
        <w:right w:val="none" w:sz="0" w:space="0" w:color="auto"/>
      </w:divBdr>
    </w:div>
    <w:div w:id="563032671">
      <w:bodyDiv w:val="1"/>
      <w:marLeft w:val="0"/>
      <w:marRight w:val="0"/>
      <w:marTop w:val="0"/>
      <w:marBottom w:val="0"/>
      <w:divBdr>
        <w:top w:val="none" w:sz="0" w:space="0" w:color="auto"/>
        <w:left w:val="none" w:sz="0" w:space="0" w:color="auto"/>
        <w:bottom w:val="none" w:sz="0" w:space="0" w:color="auto"/>
        <w:right w:val="none" w:sz="0" w:space="0" w:color="auto"/>
      </w:divBdr>
    </w:div>
    <w:div w:id="810826285">
      <w:bodyDiv w:val="1"/>
      <w:marLeft w:val="0"/>
      <w:marRight w:val="0"/>
      <w:marTop w:val="0"/>
      <w:marBottom w:val="0"/>
      <w:divBdr>
        <w:top w:val="none" w:sz="0" w:space="0" w:color="auto"/>
        <w:left w:val="none" w:sz="0" w:space="0" w:color="auto"/>
        <w:bottom w:val="none" w:sz="0" w:space="0" w:color="auto"/>
        <w:right w:val="none" w:sz="0" w:space="0" w:color="auto"/>
      </w:divBdr>
    </w:div>
    <w:div w:id="1041516072">
      <w:bodyDiv w:val="1"/>
      <w:marLeft w:val="0"/>
      <w:marRight w:val="0"/>
      <w:marTop w:val="0"/>
      <w:marBottom w:val="0"/>
      <w:divBdr>
        <w:top w:val="none" w:sz="0" w:space="0" w:color="auto"/>
        <w:left w:val="none" w:sz="0" w:space="0" w:color="auto"/>
        <w:bottom w:val="none" w:sz="0" w:space="0" w:color="auto"/>
        <w:right w:val="none" w:sz="0" w:space="0" w:color="auto"/>
      </w:divBdr>
    </w:div>
    <w:div w:id="1055162193">
      <w:bodyDiv w:val="1"/>
      <w:marLeft w:val="0"/>
      <w:marRight w:val="0"/>
      <w:marTop w:val="0"/>
      <w:marBottom w:val="0"/>
      <w:divBdr>
        <w:top w:val="none" w:sz="0" w:space="0" w:color="auto"/>
        <w:left w:val="none" w:sz="0" w:space="0" w:color="auto"/>
        <w:bottom w:val="none" w:sz="0" w:space="0" w:color="auto"/>
        <w:right w:val="none" w:sz="0" w:space="0" w:color="auto"/>
      </w:divBdr>
    </w:div>
    <w:div w:id="1061753320">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467552888">
      <w:bodyDiv w:val="1"/>
      <w:marLeft w:val="0"/>
      <w:marRight w:val="0"/>
      <w:marTop w:val="0"/>
      <w:marBottom w:val="0"/>
      <w:divBdr>
        <w:top w:val="none" w:sz="0" w:space="0" w:color="auto"/>
        <w:left w:val="none" w:sz="0" w:space="0" w:color="auto"/>
        <w:bottom w:val="none" w:sz="0" w:space="0" w:color="auto"/>
        <w:right w:val="none" w:sz="0" w:space="0" w:color="auto"/>
      </w:divBdr>
    </w:div>
    <w:div w:id="1582251867">
      <w:bodyDiv w:val="1"/>
      <w:marLeft w:val="0"/>
      <w:marRight w:val="0"/>
      <w:marTop w:val="0"/>
      <w:marBottom w:val="0"/>
      <w:divBdr>
        <w:top w:val="none" w:sz="0" w:space="0" w:color="auto"/>
        <w:left w:val="none" w:sz="0" w:space="0" w:color="auto"/>
        <w:bottom w:val="none" w:sz="0" w:space="0" w:color="auto"/>
        <w:right w:val="none" w:sz="0" w:space="0" w:color="auto"/>
      </w:divBdr>
    </w:div>
    <w:div w:id="1592549543">
      <w:bodyDiv w:val="1"/>
      <w:marLeft w:val="0"/>
      <w:marRight w:val="0"/>
      <w:marTop w:val="0"/>
      <w:marBottom w:val="0"/>
      <w:divBdr>
        <w:top w:val="none" w:sz="0" w:space="0" w:color="auto"/>
        <w:left w:val="none" w:sz="0" w:space="0" w:color="auto"/>
        <w:bottom w:val="none" w:sz="0" w:space="0" w:color="auto"/>
        <w:right w:val="none" w:sz="0" w:space="0" w:color="auto"/>
      </w:divBdr>
    </w:div>
    <w:div w:id="1613634822">
      <w:bodyDiv w:val="1"/>
      <w:marLeft w:val="0"/>
      <w:marRight w:val="0"/>
      <w:marTop w:val="0"/>
      <w:marBottom w:val="0"/>
      <w:divBdr>
        <w:top w:val="none" w:sz="0" w:space="0" w:color="auto"/>
        <w:left w:val="none" w:sz="0" w:space="0" w:color="auto"/>
        <w:bottom w:val="none" w:sz="0" w:space="0" w:color="auto"/>
        <w:right w:val="none" w:sz="0" w:space="0" w:color="auto"/>
      </w:divBdr>
    </w:div>
    <w:div w:id="1713142725">
      <w:bodyDiv w:val="1"/>
      <w:marLeft w:val="0"/>
      <w:marRight w:val="0"/>
      <w:marTop w:val="0"/>
      <w:marBottom w:val="0"/>
      <w:divBdr>
        <w:top w:val="none" w:sz="0" w:space="0" w:color="auto"/>
        <w:left w:val="none" w:sz="0" w:space="0" w:color="auto"/>
        <w:bottom w:val="none" w:sz="0" w:space="0" w:color="auto"/>
        <w:right w:val="none" w:sz="0" w:space="0" w:color="auto"/>
      </w:divBdr>
    </w:div>
    <w:div w:id="1856848526">
      <w:bodyDiv w:val="1"/>
      <w:marLeft w:val="0"/>
      <w:marRight w:val="0"/>
      <w:marTop w:val="0"/>
      <w:marBottom w:val="0"/>
      <w:divBdr>
        <w:top w:val="none" w:sz="0" w:space="0" w:color="auto"/>
        <w:left w:val="none" w:sz="0" w:space="0" w:color="auto"/>
        <w:bottom w:val="none" w:sz="0" w:space="0" w:color="auto"/>
        <w:right w:val="none" w:sz="0" w:space="0" w:color="auto"/>
      </w:divBdr>
    </w:div>
    <w:div w:id="1914200128">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1985885013">
      <w:bodyDiv w:val="1"/>
      <w:marLeft w:val="0"/>
      <w:marRight w:val="0"/>
      <w:marTop w:val="0"/>
      <w:marBottom w:val="0"/>
      <w:divBdr>
        <w:top w:val="none" w:sz="0" w:space="0" w:color="auto"/>
        <w:left w:val="none" w:sz="0" w:space="0" w:color="auto"/>
        <w:bottom w:val="none" w:sz="0" w:space="0" w:color="auto"/>
        <w:right w:val="none" w:sz="0" w:space="0" w:color="auto"/>
      </w:divBdr>
    </w:div>
    <w:div w:id="1994332881">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harms.zoom.us/j/99282825023?pwd=M1ZyNXJJbUx2Q25NOHpFTndhazU4UT09" TargetMode="External"/><Relationship Id="rId13" Type="http://schemas.openxmlformats.org/officeDocument/2006/relationships/hyperlink" Target="https://gbr01.safelinks.protection.outlook.com/?url=https%3A%2F%2Fchange.nhs.uk%2Fen-GB%2F&amp;data=05%7C02%7CCath.Ward%40rpharms.com%7C50d131d02df24ff71f5508dcf743d92f%7C99193c61658d4076952f07c345a3be97%7C0%7C0%7C638657117973401769%7CUnknown%7CTWFpbGZsb3d8eyJWIjoiMC4wLjAwMDAiLCJQIjoiV2luMzIiLCJBTiI6Ik1haWwiLCJXVCI6Mn0%3D%7C0%7C%7C%7C&amp;sdata=wWDcPZ2mVcYFx0QGLu%2FwSFc1%2F83WC7Y32SlmI%2B8hAGI%3D&amp;reserved=0" TargetMode="External"/><Relationship Id="rId3" Type="http://schemas.openxmlformats.org/officeDocument/2006/relationships/settings" Target="settings.xml"/><Relationship Id="rId7" Type="http://schemas.openxmlformats.org/officeDocument/2006/relationships/hyperlink" Target="https://zoom.us/signup" TargetMode="Externa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Janice Perkins</cp:lastModifiedBy>
  <cp:revision>10</cp:revision>
  <cp:lastPrinted>2022-11-21T14:51:00Z</cp:lastPrinted>
  <dcterms:created xsi:type="dcterms:W3CDTF">2024-11-29T13:37:00Z</dcterms:created>
  <dcterms:modified xsi:type="dcterms:W3CDTF">2024-11-29T23:11:00Z</dcterms:modified>
</cp:coreProperties>
</file>