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0B4AD" w14:textId="4587726C" w:rsidR="004130F1" w:rsidRPr="004130F1" w:rsidRDefault="005B586C" w:rsidP="004130F1">
      <w:pPr>
        <w:pStyle w:val="Heading1"/>
        <w:rPr>
          <w:b/>
          <w:bCs/>
        </w:rPr>
      </w:pPr>
      <w:r>
        <w:rPr>
          <w:b/>
          <w:bCs/>
        </w:rPr>
        <w:t xml:space="preserve">Community </w:t>
      </w:r>
      <w:r w:rsidR="00552F44">
        <w:rPr>
          <w:b/>
          <w:bCs/>
        </w:rPr>
        <w:t>Pharmacy</w:t>
      </w:r>
      <w:r w:rsidR="00C834C9">
        <w:rPr>
          <w:b/>
          <w:bCs/>
        </w:rPr>
        <w:t xml:space="preserve"> </w:t>
      </w:r>
      <w:r w:rsidR="004130F1">
        <w:rPr>
          <w:b/>
          <w:bCs/>
        </w:rPr>
        <w:t xml:space="preserve">Expert Advisory Group </w:t>
      </w:r>
      <w:r w:rsidR="00C834C9">
        <w:rPr>
          <w:b/>
          <w:bCs/>
        </w:rPr>
        <w:t>Agenda</w:t>
      </w:r>
    </w:p>
    <w:p w14:paraId="0323961B" w14:textId="2D60B6E4" w:rsidR="006255E1" w:rsidRDefault="00372DFA" w:rsidP="005B586C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Monday </w:t>
      </w:r>
      <w:r w:rsidR="00372787">
        <w:rPr>
          <w:b/>
          <w:bCs/>
          <w:sz w:val="28"/>
          <w:szCs w:val="28"/>
        </w:rPr>
        <w:t>1</w:t>
      </w:r>
      <w:r w:rsidR="00EF169A">
        <w:rPr>
          <w:b/>
          <w:bCs/>
          <w:sz w:val="28"/>
          <w:szCs w:val="28"/>
        </w:rPr>
        <w:t>3</w:t>
      </w:r>
      <w:r w:rsidR="00EF169A" w:rsidRPr="00EF169A">
        <w:rPr>
          <w:b/>
          <w:bCs/>
          <w:sz w:val="28"/>
          <w:szCs w:val="28"/>
          <w:vertAlign w:val="superscript"/>
        </w:rPr>
        <w:t>th</w:t>
      </w:r>
      <w:r w:rsidR="00EF169A">
        <w:rPr>
          <w:b/>
          <w:bCs/>
          <w:sz w:val="28"/>
          <w:szCs w:val="28"/>
        </w:rPr>
        <w:t xml:space="preserve"> May</w:t>
      </w:r>
      <w:r>
        <w:rPr>
          <w:b/>
          <w:bCs/>
          <w:sz w:val="28"/>
          <w:szCs w:val="28"/>
        </w:rPr>
        <w:t xml:space="preserve"> 202</w:t>
      </w:r>
      <w:r w:rsidR="00372787">
        <w:rPr>
          <w:b/>
          <w:bCs/>
          <w:sz w:val="28"/>
          <w:szCs w:val="28"/>
        </w:rPr>
        <w:t>4</w:t>
      </w:r>
      <w:r w:rsidR="00B51E9C">
        <w:rPr>
          <w:b/>
          <w:bCs/>
          <w:sz w:val="28"/>
          <w:szCs w:val="28"/>
        </w:rPr>
        <w:t xml:space="preserve"> </w:t>
      </w:r>
      <w:r w:rsidR="004237B3">
        <w:rPr>
          <w:b/>
          <w:bCs/>
          <w:sz w:val="28"/>
          <w:szCs w:val="28"/>
        </w:rPr>
        <w:t>19.30 – 2</w:t>
      </w:r>
      <w:r w:rsidR="00900EE5">
        <w:rPr>
          <w:b/>
          <w:bCs/>
          <w:sz w:val="28"/>
          <w:szCs w:val="28"/>
        </w:rPr>
        <w:t>1</w:t>
      </w:r>
      <w:r w:rsidR="007307E1">
        <w:rPr>
          <w:b/>
          <w:bCs/>
          <w:sz w:val="28"/>
          <w:szCs w:val="28"/>
        </w:rPr>
        <w:t>.30</w:t>
      </w:r>
      <w:r w:rsidR="004237B3">
        <w:rPr>
          <w:b/>
          <w:bCs/>
          <w:sz w:val="28"/>
          <w:szCs w:val="28"/>
        </w:rPr>
        <w:t xml:space="preserve"> By</w:t>
      </w:r>
      <w:r w:rsidR="00F27759">
        <w:rPr>
          <w:b/>
          <w:bCs/>
          <w:sz w:val="28"/>
          <w:szCs w:val="28"/>
        </w:rPr>
        <w:t xml:space="preserve"> Zoom: </w:t>
      </w:r>
    </w:p>
    <w:p w14:paraId="06BDC11D" w14:textId="1EF88A0C" w:rsidR="00F27759" w:rsidRDefault="004540E4" w:rsidP="00F27759">
      <w:pPr>
        <w:spacing w:after="0"/>
      </w:pPr>
      <w:r>
        <w:rPr>
          <w:sz w:val="24"/>
          <w:szCs w:val="24"/>
        </w:rPr>
        <w:t>P</w:t>
      </w:r>
      <w:r w:rsidR="00F27759" w:rsidRPr="00FE789D">
        <w:rPr>
          <w:sz w:val="24"/>
          <w:szCs w:val="24"/>
        </w:rPr>
        <w:t xml:space="preserve">lease note you need a Zoom </w:t>
      </w:r>
      <w:r w:rsidR="00BE5822" w:rsidRPr="00FE789D">
        <w:rPr>
          <w:sz w:val="24"/>
          <w:szCs w:val="24"/>
        </w:rPr>
        <w:t>account to enter this meeting</w:t>
      </w:r>
      <w:r w:rsidR="00F27759" w:rsidRPr="00FE789D">
        <w:rPr>
          <w:sz w:val="24"/>
          <w:szCs w:val="24"/>
        </w:rPr>
        <w:t xml:space="preserve">. You can create a Zoom account for free at: </w:t>
      </w:r>
      <w:hyperlink r:id="rId7" w:history="1">
        <w:r w:rsidR="00F27759" w:rsidRPr="00FE789D">
          <w:rPr>
            <w:rStyle w:val="Hyperlink"/>
            <w:sz w:val="24"/>
            <w:szCs w:val="24"/>
          </w:rPr>
          <w:t>https://zoom.us/signup</w:t>
        </w:r>
      </w:hyperlink>
      <w:r w:rsidR="00F27759">
        <w:t xml:space="preserve"> </w:t>
      </w:r>
    </w:p>
    <w:p w14:paraId="5CC8934B" w14:textId="0E132081" w:rsidR="00B51E9C" w:rsidRDefault="00B51E9C" w:rsidP="00B51E9C">
      <w:pPr>
        <w:rPr>
          <w:rFonts w:cstheme="minorHAnsi"/>
          <w:sz w:val="28"/>
          <w:szCs w:val="28"/>
        </w:rPr>
      </w:pPr>
      <w:r w:rsidRPr="002D1B7D">
        <w:rPr>
          <w:rFonts w:cstheme="minorHAnsi"/>
          <w:sz w:val="28"/>
          <w:szCs w:val="28"/>
        </w:rPr>
        <w:t>Join Zoom Meeting</w:t>
      </w:r>
    </w:p>
    <w:p w14:paraId="1BACF590" w14:textId="77777777" w:rsidR="00EF169A" w:rsidRDefault="00EF169A" w:rsidP="00EF169A">
      <w:pPr>
        <w:rPr>
          <w:rFonts w:ascii="Arial" w:hAnsi="Arial" w:cs="Arial"/>
        </w:rPr>
      </w:pPr>
    </w:p>
    <w:p w14:paraId="5555559A" w14:textId="77777777" w:rsidR="00EF169A" w:rsidRDefault="00000000" w:rsidP="00EF169A">
      <w:pPr>
        <w:rPr>
          <w:rFonts w:ascii="Arial" w:hAnsi="Arial" w:cs="Arial"/>
        </w:rPr>
      </w:pPr>
      <w:hyperlink r:id="rId8" w:history="1">
        <w:r w:rsidR="00EF169A">
          <w:rPr>
            <w:rStyle w:val="Hyperlink"/>
            <w:rFonts w:ascii="Arial" w:hAnsi="Arial" w:cs="Arial"/>
          </w:rPr>
          <w:t>https://rpharms.zoom.us/j/98373902519?pwd=azlQN1ljMWhhNmtYS0RsWitmenZ6UT09</w:t>
        </w:r>
      </w:hyperlink>
    </w:p>
    <w:p w14:paraId="45879E28" w14:textId="77777777" w:rsidR="00EF169A" w:rsidRPr="002D1B7D" w:rsidRDefault="00EF169A" w:rsidP="00B51E9C">
      <w:pPr>
        <w:rPr>
          <w:rFonts w:cstheme="minorHAnsi"/>
          <w:sz w:val="28"/>
          <w:szCs w:val="28"/>
        </w:rPr>
      </w:pPr>
    </w:p>
    <w:p w14:paraId="671EF214" w14:textId="115A7025" w:rsidR="004130F1" w:rsidRPr="004130F1" w:rsidRDefault="0004414A" w:rsidP="004130F1">
      <w:pPr>
        <w:pStyle w:val="Heading2"/>
        <w:pBdr>
          <w:bottom w:val="single" w:sz="4" w:space="1" w:color="auto"/>
        </w:pBdr>
        <w:shd w:val="clear" w:color="auto" w:fill="DEEAF6" w:themeFill="accent5" w:themeFillTint="33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1: </w:t>
      </w:r>
      <w:r w:rsidR="0093351D">
        <w:rPr>
          <w:b/>
          <w:bCs/>
          <w:color w:val="000000" w:themeColor="text1"/>
        </w:rPr>
        <w:t>Welcome</w:t>
      </w:r>
      <w:r w:rsidR="000C5A09">
        <w:rPr>
          <w:b/>
          <w:bCs/>
          <w:color w:val="000000" w:themeColor="text1"/>
        </w:rPr>
        <w:t>, Ap</w:t>
      </w:r>
      <w:r w:rsidR="007307E1">
        <w:rPr>
          <w:b/>
          <w:bCs/>
          <w:color w:val="000000" w:themeColor="text1"/>
        </w:rPr>
        <w:t xml:space="preserve">ologies and </w:t>
      </w:r>
      <w:r w:rsidR="0085262A">
        <w:rPr>
          <w:b/>
          <w:bCs/>
          <w:color w:val="000000" w:themeColor="text1"/>
        </w:rPr>
        <w:t>welcome Led</w:t>
      </w:r>
      <w:r w:rsidR="001E764A">
        <w:rPr>
          <w:b/>
          <w:bCs/>
          <w:color w:val="000000" w:themeColor="text1"/>
        </w:rPr>
        <w:t xml:space="preserve"> by Janice</w:t>
      </w:r>
      <w:r w:rsidR="006A5670">
        <w:rPr>
          <w:b/>
          <w:bCs/>
          <w:color w:val="000000" w:themeColor="text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0A0C1D" w:rsidRPr="007C0870" w14:paraId="71C4A3D0" w14:textId="77777777" w:rsidTr="008805EB">
        <w:trPr>
          <w:trHeight w:val="638"/>
        </w:trPr>
        <w:tc>
          <w:tcPr>
            <w:tcW w:w="1271" w:type="dxa"/>
          </w:tcPr>
          <w:p w14:paraId="57C66510" w14:textId="08194E1E" w:rsidR="000A0C1D" w:rsidRPr="004237B3" w:rsidRDefault="00372DFA" w:rsidP="008805EB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7745" w:type="dxa"/>
          </w:tcPr>
          <w:p w14:paraId="711FF345" w14:textId="43C49885" w:rsidR="00FC780E" w:rsidRPr="007C0870" w:rsidRDefault="0085262A" w:rsidP="00FC780E">
            <w:r>
              <w:t>To welcome</w:t>
            </w:r>
            <w:r w:rsidR="003B565C">
              <w:t xml:space="preserve"> and note apologies.</w:t>
            </w:r>
            <w:r w:rsidR="003343B0">
              <w:t xml:space="preserve"> </w:t>
            </w:r>
          </w:p>
        </w:tc>
      </w:tr>
      <w:tr w:rsidR="000A0C1D" w:rsidRPr="000C7A2D" w14:paraId="3BE1B3B7" w14:textId="77777777" w:rsidTr="008805EB">
        <w:trPr>
          <w:trHeight w:val="568"/>
        </w:trPr>
        <w:tc>
          <w:tcPr>
            <w:tcW w:w="1271" w:type="dxa"/>
          </w:tcPr>
          <w:p w14:paraId="1FCD453F" w14:textId="77777777" w:rsidR="000A0C1D" w:rsidRPr="004237B3" w:rsidRDefault="000A0C1D" w:rsidP="008805EB">
            <w:pPr>
              <w:rPr>
                <w:b/>
                <w:bCs/>
              </w:rPr>
            </w:pPr>
            <w:r w:rsidRPr="004237B3">
              <w:rPr>
                <w:b/>
                <w:bCs/>
              </w:rPr>
              <w:t>Outcomes</w:t>
            </w:r>
          </w:p>
        </w:tc>
        <w:tc>
          <w:tcPr>
            <w:tcW w:w="7745" w:type="dxa"/>
          </w:tcPr>
          <w:p w14:paraId="6174488D" w14:textId="65EC580A" w:rsidR="000A0C1D" w:rsidRDefault="000A0C1D" w:rsidP="008805EB">
            <w:r w:rsidRPr="000C7A2D">
              <w:t>To be agreed and completed at the meeting as a record</w:t>
            </w:r>
            <w:r w:rsidR="00591068">
              <w:t>.</w:t>
            </w:r>
          </w:p>
          <w:p w14:paraId="1AD8438D" w14:textId="77777777" w:rsidR="00B86515" w:rsidRDefault="00B86515" w:rsidP="008805EB"/>
          <w:p w14:paraId="75A43822" w14:textId="77777777" w:rsidR="00B86515" w:rsidRPr="002B234B" w:rsidRDefault="00B86515" w:rsidP="00B86515">
            <w:pPr>
              <w:rPr>
                <w:b/>
                <w:bCs/>
              </w:rPr>
            </w:pPr>
            <w:r w:rsidRPr="002B234B">
              <w:rPr>
                <w:b/>
                <w:bCs/>
              </w:rPr>
              <w:t>Attendees</w:t>
            </w:r>
          </w:p>
          <w:p w14:paraId="380A6E3B" w14:textId="77777777" w:rsidR="00B86515" w:rsidRDefault="00B86515" w:rsidP="00B86515">
            <w:r>
              <w:t>Janice Perkins</w:t>
            </w:r>
          </w:p>
          <w:p w14:paraId="0333AD45" w14:textId="77777777" w:rsidR="00B86515" w:rsidRDefault="00B86515" w:rsidP="00B86515">
            <w:r>
              <w:t>Paul Jenks</w:t>
            </w:r>
          </w:p>
          <w:p w14:paraId="708AEFC1" w14:textId="77777777" w:rsidR="00B86515" w:rsidRDefault="00B86515" w:rsidP="00B86515">
            <w:r>
              <w:t>Diane Robertson</w:t>
            </w:r>
          </w:p>
          <w:p w14:paraId="6F695730" w14:textId="77777777" w:rsidR="00B86515" w:rsidRDefault="00B86515" w:rsidP="00B86515">
            <w:r>
              <w:t>Sarah Passmore</w:t>
            </w:r>
          </w:p>
          <w:p w14:paraId="7FA570E8" w14:textId="74E37151" w:rsidR="00B86515" w:rsidRDefault="00B86515" w:rsidP="00B86515">
            <w:r>
              <w:t xml:space="preserve">Nick Thayer </w:t>
            </w:r>
          </w:p>
          <w:p w14:paraId="2B8B2411" w14:textId="03ED6CC6" w:rsidR="00B86515" w:rsidRDefault="00B86515" w:rsidP="00B86515">
            <w:r>
              <w:t>Jonathan Smith</w:t>
            </w:r>
          </w:p>
          <w:p w14:paraId="3B7F35CD" w14:textId="77777777" w:rsidR="00B86515" w:rsidRDefault="00B86515" w:rsidP="00B86515">
            <w:r>
              <w:t>Waqas Ahmad</w:t>
            </w:r>
          </w:p>
          <w:p w14:paraId="3742CEAA" w14:textId="77777777" w:rsidR="00B86515" w:rsidRDefault="00B86515" w:rsidP="00B86515">
            <w:r>
              <w:t>Liz Hallett</w:t>
            </w:r>
          </w:p>
          <w:p w14:paraId="24D5458F" w14:textId="77777777" w:rsidR="00B86515" w:rsidRDefault="00B86515" w:rsidP="00B86515"/>
          <w:p w14:paraId="0E2B386F" w14:textId="290856E8" w:rsidR="00B86515" w:rsidRDefault="00B86515" w:rsidP="00B86515">
            <w:pPr>
              <w:rPr>
                <w:b/>
                <w:bCs/>
              </w:rPr>
            </w:pPr>
            <w:r w:rsidRPr="002B234B">
              <w:rPr>
                <w:b/>
                <w:bCs/>
              </w:rPr>
              <w:t xml:space="preserve">Apologies </w:t>
            </w:r>
          </w:p>
          <w:p w14:paraId="02073AD0" w14:textId="77777777" w:rsidR="00B86515" w:rsidRDefault="00B86515" w:rsidP="00B86515">
            <w:r>
              <w:t>Patricia Ojo</w:t>
            </w:r>
          </w:p>
          <w:p w14:paraId="2B20A410" w14:textId="49E8C62B" w:rsidR="00B86515" w:rsidRDefault="00B86515" w:rsidP="00B86515">
            <w:r>
              <w:t>Sobia Janjua</w:t>
            </w:r>
          </w:p>
          <w:p w14:paraId="1A41DC47" w14:textId="020B1F6B" w:rsidR="00B86515" w:rsidRDefault="00B86515" w:rsidP="00B86515">
            <w:r>
              <w:t>Brendan Jang</w:t>
            </w:r>
          </w:p>
          <w:p w14:paraId="20E63DE8" w14:textId="172036F3" w:rsidR="00B86515" w:rsidRPr="000C7A2D" w:rsidRDefault="00B86515" w:rsidP="00B86515"/>
        </w:tc>
      </w:tr>
    </w:tbl>
    <w:p w14:paraId="1F753B5D" w14:textId="4FB03F27" w:rsidR="00CA621E" w:rsidRDefault="00CA621E" w:rsidP="00CA621E">
      <w:pPr>
        <w:pStyle w:val="PlainText"/>
      </w:pPr>
    </w:p>
    <w:p w14:paraId="715A8520" w14:textId="0639DDF5" w:rsidR="00695DCB" w:rsidRDefault="00695DCB" w:rsidP="00695DCB">
      <w:pPr>
        <w:pStyle w:val="Heading2"/>
        <w:pBdr>
          <w:bottom w:val="single" w:sz="4" w:space="1" w:color="auto"/>
        </w:pBdr>
        <w:shd w:val="clear" w:color="auto" w:fill="DEEAF6" w:themeFill="accent5" w:themeFillTint="33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</w:t>
      </w:r>
      <w:r w:rsidR="000D6BCA">
        <w:rPr>
          <w:b/>
          <w:bCs/>
          <w:color w:val="000000" w:themeColor="text1"/>
        </w:rPr>
        <w:t>:</w:t>
      </w:r>
      <w:r w:rsidR="00655078">
        <w:rPr>
          <w:b/>
          <w:bCs/>
          <w:color w:val="000000" w:themeColor="text1"/>
        </w:rPr>
        <w:t xml:space="preserve"> </w:t>
      </w:r>
      <w:proofErr w:type="spellStart"/>
      <w:r w:rsidR="00EF169A">
        <w:rPr>
          <w:b/>
          <w:bCs/>
          <w:color w:val="000000" w:themeColor="text1"/>
          <w:lang w:val="fr-FR"/>
        </w:rPr>
        <w:t>Medicine</w:t>
      </w:r>
      <w:proofErr w:type="spellEnd"/>
      <w:r w:rsidR="00EF169A">
        <w:rPr>
          <w:b/>
          <w:bCs/>
          <w:color w:val="000000" w:themeColor="text1"/>
          <w:lang w:val="fr-FR"/>
        </w:rPr>
        <w:t xml:space="preserve"> </w:t>
      </w:r>
      <w:proofErr w:type="spellStart"/>
      <w:r w:rsidR="00EF169A">
        <w:rPr>
          <w:b/>
          <w:bCs/>
          <w:color w:val="000000" w:themeColor="text1"/>
          <w:lang w:val="fr-FR"/>
        </w:rPr>
        <w:t>Shortages</w:t>
      </w:r>
      <w:proofErr w:type="spellEnd"/>
      <w:r w:rsidR="00F6198B">
        <w:rPr>
          <w:b/>
          <w:bCs/>
          <w:color w:val="000000" w:themeColor="text1"/>
          <w:lang w:val="fr-FR"/>
        </w:rPr>
        <w:t xml:space="preserve">, </w:t>
      </w:r>
      <w:proofErr w:type="spellStart"/>
      <w:r w:rsidR="00EF169A">
        <w:rPr>
          <w:b/>
          <w:bCs/>
          <w:color w:val="000000" w:themeColor="text1"/>
          <w:lang w:val="fr-FR"/>
        </w:rPr>
        <w:t>led</w:t>
      </w:r>
      <w:proofErr w:type="spellEnd"/>
      <w:r w:rsidR="00EF169A">
        <w:rPr>
          <w:b/>
          <w:bCs/>
          <w:color w:val="000000" w:themeColor="text1"/>
          <w:lang w:val="fr-FR"/>
        </w:rPr>
        <w:t xml:space="preserve"> by Alwyn Fortune – 60 minutes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695DCB" w:rsidRPr="007C0870" w14:paraId="3C141D40" w14:textId="77777777" w:rsidTr="00C76D5B">
        <w:trPr>
          <w:trHeight w:val="638"/>
        </w:trPr>
        <w:tc>
          <w:tcPr>
            <w:tcW w:w="1271" w:type="dxa"/>
          </w:tcPr>
          <w:p w14:paraId="38B207C6" w14:textId="14E9DA0C" w:rsidR="00695DCB" w:rsidRPr="004237B3" w:rsidRDefault="00372DFA" w:rsidP="00C76D5B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7745" w:type="dxa"/>
          </w:tcPr>
          <w:p w14:paraId="1B4B6F81" w14:textId="791C2975" w:rsidR="00B4093D" w:rsidRDefault="00F6198B" w:rsidP="00EF169A">
            <w:pPr>
              <w:pStyle w:val="xmsonormal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Provide an overview of the </w:t>
            </w:r>
            <w:r w:rsidR="00B86515">
              <w:rPr>
                <w:rFonts w:eastAsia="Times New Roman"/>
                <w:color w:val="000000"/>
              </w:rPr>
              <w:t>medicine’s</w:t>
            </w:r>
            <w:r>
              <w:rPr>
                <w:rFonts w:eastAsia="Times New Roman"/>
                <w:color w:val="000000"/>
              </w:rPr>
              <w:t xml:space="preserve"> shortages project to date and to gain the expertise of CPEAG</w:t>
            </w:r>
            <w:r w:rsidR="00B86515">
              <w:rPr>
                <w:rFonts w:eastAsia="Times New Roman"/>
                <w:color w:val="000000"/>
              </w:rPr>
              <w:t>.</w:t>
            </w:r>
          </w:p>
          <w:p w14:paraId="47769BB2" w14:textId="77777777" w:rsidR="00B4093D" w:rsidRDefault="00B4093D" w:rsidP="00372DFA"/>
          <w:p w14:paraId="2889732C" w14:textId="2879B494" w:rsidR="000E4BB0" w:rsidRPr="005E7BEC" w:rsidRDefault="000E4BB0" w:rsidP="00372DFA">
            <w:pPr>
              <w:rPr>
                <w:rFonts w:ascii="Calibri" w:hAnsi="Calibri" w:cs="Calibri"/>
              </w:rPr>
            </w:pPr>
          </w:p>
        </w:tc>
      </w:tr>
      <w:tr w:rsidR="00372DFA" w:rsidRPr="007C0870" w14:paraId="2193CDEF" w14:textId="77777777" w:rsidTr="00C76D5B">
        <w:trPr>
          <w:trHeight w:val="638"/>
        </w:trPr>
        <w:tc>
          <w:tcPr>
            <w:tcW w:w="1271" w:type="dxa"/>
          </w:tcPr>
          <w:p w14:paraId="6F042E4C" w14:textId="73ED0C55" w:rsidR="00372DFA" w:rsidRPr="004237B3" w:rsidRDefault="00372DFA" w:rsidP="00C76D5B">
            <w:pPr>
              <w:rPr>
                <w:b/>
                <w:bCs/>
              </w:rPr>
            </w:pPr>
            <w:r>
              <w:rPr>
                <w:b/>
                <w:bCs/>
              </w:rPr>
              <w:t>Purpose</w:t>
            </w:r>
          </w:p>
        </w:tc>
        <w:tc>
          <w:tcPr>
            <w:tcW w:w="7745" w:type="dxa"/>
          </w:tcPr>
          <w:p w14:paraId="26444F87" w14:textId="3DD2E914" w:rsidR="00372DFA" w:rsidRDefault="00F6198B" w:rsidP="00372DFA">
            <w:r>
              <w:t>To gain the insight and experience of CPEAG to feed into the project with a focus on solutions/recommendations and potential improvements for the future, considering the following questions as part of wider discussions.</w:t>
            </w:r>
          </w:p>
          <w:p w14:paraId="49DB206B" w14:textId="77777777" w:rsidR="00340B75" w:rsidRDefault="00340B75" w:rsidP="00372DFA"/>
          <w:p w14:paraId="6425D789" w14:textId="361BA63D" w:rsidR="00340B75" w:rsidRDefault="00340B75" w:rsidP="00372DFA">
            <w:r>
              <w:t xml:space="preserve">Cathy Picton joined the meeting to give an overview of the RPS project she is leading chaired by the former Deputy </w:t>
            </w:r>
            <w:proofErr w:type="spellStart"/>
            <w:r>
              <w:t>CPhO</w:t>
            </w:r>
            <w:proofErr w:type="spellEnd"/>
            <w:r>
              <w:t xml:space="preserve">, Bruce Warner.   </w:t>
            </w:r>
          </w:p>
          <w:p w14:paraId="4562F159" w14:textId="77777777" w:rsidR="00F6198B" w:rsidRDefault="00F6198B" w:rsidP="00372DFA"/>
          <w:p w14:paraId="38A1FCA3" w14:textId="77777777" w:rsidR="00F6198B" w:rsidRDefault="00F6198B" w:rsidP="00F6198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Preventing shortages </w:t>
            </w:r>
          </w:p>
          <w:p w14:paraId="3965C604" w14:textId="77777777" w:rsidR="00F6198B" w:rsidRDefault="00F6198B" w:rsidP="00F6198B">
            <w:pPr>
              <w:pStyle w:val="ListParagraph"/>
              <w:numPr>
                <w:ilvl w:val="0"/>
                <w:numId w:val="21"/>
              </w:numPr>
              <w:spacing w:line="252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what are you doing? </w:t>
            </w:r>
          </w:p>
          <w:p w14:paraId="106A6844" w14:textId="77777777" w:rsidR="00F6198B" w:rsidRDefault="00F6198B" w:rsidP="00F6198B">
            <w:pPr>
              <w:pStyle w:val="ListParagraph"/>
              <w:numPr>
                <w:ilvl w:val="0"/>
                <w:numId w:val="21"/>
              </w:numPr>
              <w:spacing w:line="252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what do you think could be done?</w:t>
            </w:r>
          </w:p>
          <w:p w14:paraId="6E251A1E" w14:textId="77777777" w:rsidR="00F6198B" w:rsidRDefault="00F6198B" w:rsidP="00F6198B">
            <w:pPr>
              <w:pStyle w:val="ListParagraph"/>
              <w:spacing w:line="252" w:lineRule="auto"/>
              <w:rPr>
                <w:rFonts w:eastAsia="Times New Roman"/>
              </w:rPr>
            </w:pPr>
          </w:p>
          <w:p w14:paraId="5D2E9FE4" w14:textId="77777777" w:rsidR="00F6198B" w:rsidRDefault="00F6198B" w:rsidP="00F6198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Managing shortages once they occur </w:t>
            </w:r>
          </w:p>
          <w:p w14:paraId="60B8C797" w14:textId="77777777" w:rsidR="00F6198B" w:rsidRDefault="00F6198B" w:rsidP="00F6198B">
            <w:pPr>
              <w:pStyle w:val="ListParagraph"/>
              <w:numPr>
                <w:ilvl w:val="0"/>
                <w:numId w:val="22"/>
              </w:numPr>
              <w:spacing w:line="252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what are you doing? </w:t>
            </w:r>
          </w:p>
          <w:p w14:paraId="2BCDDCEC" w14:textId="77777777" w:rsidR="00F6198B" w:rsidRDefault="00F6198B" w:rsidP="00F6198B">
            <w:pPr>
              <w:pStyle w:val="ListParagraph"/>
              <w:numPr>
                <w:ilvl w:val="0"/>
                <w:numId w:val="22"/>
              </w:numPr>
              <w:spacing w:line="252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what do you think could be done?</w:t>
            </w:r>
          </w:p>
          <w:p w14:paraId="13A1273F" w14:textId="77777777" w:rsidR="00F6198B" w:rsidRDefault="00F6198B" w:rsidP="00F6198B">
            <w:pPr>
              <w:pStyle w:val="ListParagraph"/>
              <w:numPr>
                <w:ilvl w:val="0"/>
                <w:numId w:val="22"/>
              </w:numPr>
              <w:spacing w:line="252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what changes/improvements would help you in practice when dealing with shortages?</w:t>
            </w:r>
          </w:p>
          <w:p w14:paraId="0E7109DB" w14:textId="76D8EC38" w:rsidR="00F6198B" w:rsidRPr="00854AC4" w:rsidRDefault="00F6198B" w:rsidP="00372DFA"/>
        </w:tc>
      </w:tr>
      <w:tr w:rsidR="00695DCB" w:rsidRPr="000C7A2D" w14:paraId="4B2CE51A" w14:textId="77777777" w:rsidTr="00C76D5B">
        <w:trPr>
          <w:trHeight w:val="568"/>
        </w:trPr>
        <w:tc>
          <w:tcPr>
            <w:tcW w:w="1271" w:type="dxa"/>
          </w:tcPr>
          <w:p w14:paraId="6AB2F7EA" w14:textId="77777777" w:rsidR="00695DCB" w:rsidRPr="004237B3" w:rsidRDefault="00695DCB" w:rsidP="00C76D5B">
            <w:pPr>
              <w:rPr>
                <w:b/>
                <w:bCs/>
              </w:rPr>
            </w:pPr>
            <w:r w:rsidRPr="004237B3">
              <w:rPr>
                <w:b/>
                <w:bCs/>
              </w:rPr>
              <w:lastRenderedPageBreak/>
              <w:t>Outcomes</w:t>
            </w:r>
          </w:p>
        </w:tc>
        <w:tc>
          <w:tcPr>
            <w:tcW w:w="7745" w:type="dxa"/>
          </w:tcPr>
          <w:p w14:paraId="7277F109" w14:textId="6DA24EC8" w:rsidR="00695DCB" w:rsidRDefault="00B51E9C" w:rsidP="00C76D5B">
            <w:r w:rsidRPr="000C7A2D">
              <w:t>To be agreed and completed at the meeting as a record</w:t>
            </w:r>
            <w:r w:rsidR="00B86515">
              <w:t>.</w:t>
            </w:r>
          </w:p>
          <w:p w14:paraId="7365CDD6" w14:textId="11E417E2" w:rsidR="00B86515" w:rsidRDefault="00B86515" w:rsidP="00C76D5B"/>
          <w:p w14:paraId="0239B230" w14:textId="607B6B02" w:rsidR="00B86515" w:rsidRDefault="00B86515" w:rsidP="00C76D5B">
            <w:r>
              <w:t xml:space="preserve">An </w:t>
            </w:r>
            <w:r w:rsidR="00591068">
              <w:t xml:space="preserve">update </w:t>
            </w:r>
            <w:r>
              <w:t>was provided of the current position with the Medicine’s Project.</w:t>
            </w:r>
          </w:p>
          <w:p w14:paraId="18AF639D" w14:textId="77777777" w:rsidR="00591068" w:rsidRDefault="00591068" w:rsidP="00C76D5B"/>
          <w:p w14:paraId="7ADE3544" w14:textId="564FB082" w:rsidR="00B86515" w:rsidRDefault="00B86515" w:rsidP="00C76D5B">
            <w:r>
              <w:t xml:space="preserve">It was </w:t>
            </w:r>
            <w:r w:rsidR="00591068">
              <w:t xml:space="preserve">noted </w:t>
            </w:r>
            <w:r>
              <w:t>that the definition of medicine shortage is based on the OECD definition of shortages.</w:t>
            </w:r>
          </w:p>
          <w:p w14:paraId="4DADB895" w14:textId="77777777" w:rsidR="00591068" w:rsidRDefault="00591068" w:rsidP="001E2004"/>
          <w:p w14:paraId="58D0ECA2" w14:textId="005314E4" w:rsidR="001E2004" w:rsidRDefault="00591068" w:rsidP="001E2004">
            <w:r>
              <w:t xml:space="preserve">The </w:t>
            </w:r>
            <w:r w:rsidR="001975D2">
              <w:t xml:space="preserve">discussion focussed on three </w:t>
            </w:r>
            <w:r w:rsidR="009E1DF7">
              <w:t>areas: -</w:t>
            </w:r>
          </w:p>
          <w:p w14:paraId="6212E4DB" w14:textId="43B09A6D" w:rsidR="001E2004" w:rsidRDefault="001E2004" w:rsidP="00591068">
            <w:pPr>
              <w:pStyle w:val="ListParagraph"/>
              <w:numPr>
                <w:ilvl w:val="0"/>
                <w:numId w:val="24"/>
              </w:numPr>
            </w:pPr>
            <w:r w:rsidRPr="001E2004">
              <w:t xml:space="preserve">Patient and professional impact </w:t>
            </w:r>
            <w:r w:rsidR="00591068">
              <w:t>– what is happening on the ground.</w:t>
            </w:r>
          </w:p>
          <w:p w14:paraId="5118C091" w14:textId="69212AA7" w:rsidR="00591068" w:rsidRDefault="00591068" w:rsidP="00591068">
            <w:pPr>
              <w:pStyle w:val="ListParagraph"/>
              <w:numPr>
                <w:ilvl w:val="0"/>
                <w:numId w:val="24"/>
              </w:numPr>
            </w:pPr>
            <w:r>
              <w:t>Preventing shortages.</w:t>
            </w:r>
          </w:p>
          <w:p w14:paraId="158B7751" w14:textId="386E2774" w:rsidR="00591068" w:rsidRDefault="00591068" w:rsidP="00591068">
            <w:pPr>
              <w:pStyle w:val="ListParagraph"/>
              <w:numPr>
                <w:ilvl w:val="0"/>
                <w:numId w:val="24"/>
              </w:numPr>
            </w:pPr>
            <w:r w:rsidRPr="00591068">
              <w:t>Managing shortages once they occur</w:t>
            </w:r>
            <w:r>
              <w:t>.</w:t>
            </w:r>
            <w:r w:rsidRPr="00591068">
              <w:t xml:space="preserve"> </w:t>
            </w:r>
          </w:p>
          <w:p w14:paraId="29DC1686" w14:textId="77777777" w:rsidR="00F7688E" w:rsidRDefault="00F7688E" w:rsidP="00F7688E"/>
          <w:p w14:paraId="5D46716F" w14:textId="77777777" w:rsidR="00F7688E" w:rsidRDefault="00F7688E" w:rsidP="00F7688E"/>
          <w:p w14:paraId="48759914" w14:textId="05458E26" w:rsidR="00BB2988" w:rsidRPr="00F7688E" w:rsidRDefault="00F7688E" w:rsidP="00F7688E">
            <w:pPr>
              <w:ind w:left="720"/>
              <w:rPr>
                <w:b/>
                <w:bCs/>
              </w:rPr>
            </w:pPr>
            <w:r w:rsidRPr="00F7688E">
              <w:rPr>
                <w:b/>
                <w:bCs/>
              </w:rPr>
              <w:t>Branded Generics</w:t>
            </w:r>
          </w:p>
          <w:p w14:paraId="721E432C" w14:textId="2FB7875A" w:rsidR="00591068" w:rsidRDefault="001B36C0" w:rsidP="00E76079">
            <w:pPr>
              <w:pStyle w:val="ListParagraph"/>
              <w:numPr>
                <w:ilvl w:val="0"/>
                <w:numId w:val="24"/>
              </w:numPr>
            </w:pPr>
            <w:r>
              <w:t>It was suggested that t</w:t>
            </w:r>
            <w:r w:rsidR="006F4788">
              <w:t>here s</w:t>
            </w:r>
            <w:r w:rsidR="001975D2">
              <w:t xml:space="preserve">hould there be a way to differentiate </w:t>
            </w:r>
            <w:r w:rsidR="006F4788">
              <w:t>between shortages</w:t>
            </w:r>
            <w:r w:rsidR="00BB2988">
              <w:t xml:space="preserve"> in terms of</w:t>
            </w:r>
            <w:r w:rsidR="006F4788">
              <w:t xml:space="preserve"> branded and gene</w:t>
            </w:r>
            <w:r w:rsidR="00031555">
              <w:t>ric</w:t>
            </w:r>
            <w:r w:rsidR="00BB2988">
              <w:t>.</w:t>
            </w:r>
          </w:p>
          <w:p w14:paraId="0901700D" w14:textId="195019C3" w:rsidR="00BB2988" w:rsidRDefault="00BB2988" w:rsidP="00BB2988">
            <w:pPr>
              <w:pStyle w:val="ListParagraph"/>
              <w:numPr>
                <w:ilvl w:val="0"/>
                <w:numId w:val="24"/>
              </w:numPr>
            </w:pPr>
            <w:r>
              <w:t>‘Mass’ switching of generics to branded generics in the interests of cost can exacerbate the problem, not enough stock within the supply chain to deal with this.</w:t>
            </w:r>
          </w:p>
          <w:p w14:paraId="5C8348C9" w14:textId="234B18C9" w:rsidR="00BB2988" w:rsidRDefault="00BB2988" w:rsidP="00BB2988">
            <w:pPr>
              <w:pStyle w:val="ListParagraph"/>
            </w:pPr>
          </w:p>
          <w:p w14:paraId="63AA7A41" w14:textId="13487382" w:rsidR="00BB2988" w:rsidRDefault="00BB2988" w:rsidP="00BB2988">
            <w:pPr>
              <w:pStyle w:val="ListParagraph"/>
              <w:rPr>
                <w:b/>
                <w:bCs/>
              </w:rPr>
            </w:pPr>
            <w:r w:rsidRPr="00BB2988">
              <w:rPr>
                <w:b/>
                <w:bCs/>
              </w:rPr>
              <w:t>Substitution/minor amendment to prescriptions</w:t>
            </w:r>
          </w:p>
          <w:p w14:paraId="2A8FAAE6" w14:textId="1FFCDED4" w:rsidR="00BB2988" w:rsidRDefault="00BB2988" w:rsidP="00BB2988">
            <w:pPr>
              <w:pStyle w:val="ListParagraph"/>
              <w:numPr>
                <w:ilvl w:val="0"/>
                <w:numId w:val="24"/>
              </w:numPr>
            </w:pPr>
            <w:r w:rsidRPr="00BB2988">
              <w:t>There were differing views within the group</w:t>
            </w:r>
            <w:r>
              <w:t>.</w:t>
            </w:r>
          </w:p>
          <w:p w14:paraId="5350D25E" w14:textId="3DDEFDDF" w:rsidR="00F7688E" w:rsidRDefault="00F7688E" w:rsidP="00F7688E">
            <w:pPr>
              <w:pStyle w:val="ListParagraph"/>
              <w:numPr>
                <w:ilvl w:val="0"/>
                <w:numId w:val="24"/>
              </w:numPr>
            </w:pPr>
            <w:r w:rsidRPr="007337F1">
              <w:t xml:space="preserve">There may be alternatives such as a similar strength, a different form of administration (capsules instead of tablets) or </w:t>
            </w:r>
            <w:r>
              <w:t xml:space="preserve">another </w:t>
            </w:r>
            <w:r w:rsidRPr="007337F1">
              <w:t xml:space="preserve">pack size, but this would normally require </w:t>
            </w:r>
            <w:r>
              <w:t>t</w:t>
            </w:r>
            <w:r w:rsidRPr="007337F1">
              <w:t>he doctor to authorise a change in script</w:t>
            </w:r>
            <w:r>
              <w:t>.</w:t>
            </w:r>
          </w:p>
          <w:p w14:paraId="04762EB7" w14:textId="680AD33C" w:rsidR="00BB2988" w:rsidRDefault="00BB2988" w:rsidP="00BB2988">
            <w:pPr>
              <w:pStyle w:val="ListParagraph"/>
              <w:numPr>
                <w:ilvl w:val="0"/>
                <w:numId w:val="24"/>
              </w:numPr>
            </w:pPr>
            <w:r>
              <w:t>Strong feeling that pharmacists as the experts in medicines have more than the necessary clinical skills to make minor amendments to prescriptions to allow continuity of medicines supply for patients.</w:t>
            </w:r>
          </w:p>
          <w:p w14:paraId="42A7ABBA" w14:textId="2113871E" w:rsidR="00BB2988" w:rsidRDefault="00BB2988" w:rsidP="00BB2988">
            <w:pPr>
              <w:pStyle w:val="ListParagraph"/>
              <w:numPr>
                <w:ilvl w:val="0"/>
                <w:numId w:val="24"/>
              </w:numPr>
            </w:pPr>
            <w:r>
              <w:t>Important for our standing within the ‘eyes’ of other professionals, prescribers would ‘expect’ us to be able to make amendments and not send back to them</w:t>
            </w:r>
            <w:r w:rsidR="00755D6A">
              <w:t xml:space="preserve"> which is seen as creating more work. </w:t>
            </w:r>
          </w:p>
          <w:p w14:paraId="1E5DA534" w14:textId="77777777" w:rsidR="00BB2988" w:rsidRDefault="00BB2988" w:rsidP="00BB2988">
            <w:pPr>
              <w:pStyle w:val="ListParagraph"/>
            </w:pPr>
          </w:p>
          <w:p w14:paraId="4B8738EA" w14:textId="187A3C63" w:rsidR="00BB2988" w:rsidRPr="00755D6A" w:rsidRDefault="00BB2988" w:rsidP="00755D6A">
            <w:pPr>
              <w:ind w:left="720"/>
              <w:rPr>
                <w:b/>
                <w:bCs/>
              </w:rPr>
            </w:pPr>
            <w:r w:rsidRPr="00755D6A">
              <w:rPr>
                <w:b/>
                <w:bCs/>
              </w:rPr>
              <w:t xml:space="preserve">Potential barriers highlighted to this </w:t>
            </w:r>
            <w:r w:rsidR="00F7688E" w:rsidRPr="00755D6A">
              <w:rPr>
                <w:b/>
                <w:bCs/>
              </w:rPr>
              <w:t>included.</w:t>
            </w:r>
          </w:p>
          <w:p w14:paraId="2C2B011D" w14:textId="699332DF" w:rsidR="001B36C0" w:rsidRDefault="00031555" w:rsidP="00E373FF">
            <w:pPr>
              <w:pStyle w:val="ListParagraph"/>
              <w:numPr>
                <w:ilvl w:val="0"/>
                <w:numId w:val="24"/>
              </w:numPr>
            </w:pPr>
            <w:r>
              <w:t>Costs</w:t>
            </w:r>
            <w:r w:rsidR="00F7688E">
              <w:t xml:space="preserve"> – sometimes supplying 2x5mg tablets (when 10mg is unavailable) is more expensive, pharmacies already dispensing at a loss on occasions</w:t>
            </w:r>
            <w:r>
              <w:t xml:space="preserve">. </w:t>
            </w:r>
          </w:p>
          <w:p w14:paraId="3EEAF3BE" w14:textId="2A8BAE97" w:rsidR="001B36C0" w:rsidRDefault="00F7688E" w:rsidP="00E373FF">
            <w:pPr>
              <w:pStyle w:val="ListParagraph"/>
              <w:numPr>
                <w:ilvl w:val="0"/>
                <w:numId w:val="24"/>
              </w:numPr>
            </w:pPr>
            <w:r>
              <w:t>Substitution should be considered as a funded service -p</w:t>
            </w:r>
            <w:r w:rsidR="001B36C0">
              <w:t>harmacist would not want to be making these substitutions without funding,</w:t>
            </w:r>
            <w:r>
              <w:t xml:space="preserve"> however argument was stated that </w:t>
            </w:r>
            <w:r w:rsidR="001B36C0">
              <w:t xml:space="preserve">pharmacy teams are doing the work anyway - just being bound by </w:t>
            </w:r>
            <w:r w:rsidR="009E1DF7">
              <w:t>regulation.</w:t>
            </w:r>
          </w:p>
          <w:p w14:paraId="12098834" w14:textId="77777777" w:rsidR="00F7688E" w:rsidRDefault="00F7688E" w:rsidP="00F7688E">
            <w:pPr>
              <w:pStyle w:val="ListParagraph"/>
            </w:pPr>
          </w:p>
          <w:p w14:paraId="60E38966" w14:textId="77777777" w:rsidR="00340B75" w:rsidRDefault="00340B75" w:rsidP="00F7688E">
            <w:pPr>
              <w:pStyle w:val="ListParagraph"/>
              <w:rPr>
                <w:b/>
                <w:bCs/>
              </w:rPr>
            </w:pPr>
          </w:p>
          <w:p w14:paraId="6A80A85B" w14:textId="77777777" w:rsidR="00340B75" w:rsidRDefault="00340B75" w:rsidP="00F7688E">
            <w:pPr>
              <w:pStyle w:val="ListParagraph"/>
              <w:rPr>
                <w:b/>
                <w:bCs/>
              </w:rPr>
            </w:pPr>
          </w:p>
          <w:p w14:paraId="5A1085E0" w14:textId="77777777" w:rsidR="00340B75" w:rsidRDefault="00340B75" w:rsidP="00F7688E">
            <w:pPr>
              <w:pStyle w:val="ListParagraph"/>
              <w:rPr>
                <w:b/>
                <w:bCs/>
              </w:rPr>
            </w:pPr>
          </w:p>
          <w:p w14:paraId="030E9AE1" w14:textId="77777777" w:rsidR="00340B75" w:rsidRDefault="00340B75" w:rsidP="00F7688E">
            <w:pPr>
              <w:pStyle w:val="ListParagraph"/>
              <w:rPr>
                <w:b/>
                <w:bCs/>
              </w:rPr>
            </w:pPr>
          </w:p>
          <w:p w14:paraId="1956C06E" w14:textId="46ECBCAA" w:rsidR="00F7688E" w:rsidRDefault="00F7688E" w:rsidP="00F7688E">
            <w:pPr>
              <w:pStyle w:val="ListParagraph"/>
              <w:rPr>
                <w:b/>
                <w:bCs/>
              </w:rPr>
            </w:pPr>
            <w:r w:rsidRPr="00F7688E">
              <w:rPr>
                <w:b/>
                <w:bCs/>
              </w:rPr>
              <w:t>Reimbursement/financial cost</w:t>
            </w:r>
          </w:p>
          <w:p w14:paraId="786CA1BF" w14:textId="305C131C" w:rsidR="00F7688E" w:rsidRDefault="00F7688E" w:rsidP="00F7688E">
            <w:pPr>
              <w:pStyle w:val="ListParagraph"/>
              <w:numPr>
                <w:ilvl w:val="0"/>
                <w:numId w:val="24"/>
              </w:numPr>
            </w:pPr>
            <w:r w:rsidRPr="00F7688E">
              <w:t>Price concession process described as inadequate, pharmacies often ordering medicines significantly above drug tariff price in the hope that reimbursement is amended before month end.</w:t>
            </w:r>
          </w:p>
          <w:p w14:paraId="381822E3" w14:textId="0CA2D5B0" w:rsidR="00F7688E" w:rsidRPr="00F7688E" w:rsidRDefault="00F7688E" w:rsidP="00F7688E">
            <w:pPr>
              <w:pStyle w:val="ListParagraph"/>
              <w:numPr>
                <w:ilvl w:val="0"/>
                <w:numId w:val="24"/>
              </w:numPr>
            </w:pPr>
            <w:r>
              <w:t xml:space="preserve">In some </w:t>
            </w:r>
            <w:proofErr w:type="gramStart"/>
            <w:r>
              <w:t>cases</w:t>
            </w:r>
            <w:proofErr w:type="gramEnd"/>
            <w:r>
              <w:t xml:space="preserve"> despite the shortages the drugs are obtainable, but pharmacies will not supply due to the fear of drastic financial loss.</w:t>
            </w:r>
          </w:p>
          <w:p w14:paraId="4F7163E3" w14:textId="22D18AA2" w:rsidR="00031555" w:rsidRDefault="00031555" w:rsidP="001B36C0">
            <w:pPr>
              <w:pStyle w:val="ListParagraph"/>
              <w:numPr>
                <w:ilvl w:val="0"/>
                <w:numId w:val="24"/>
              </w:numPr>
            </w:pPr>
            <w:r>
              <w:t xml:space="preserve">Not </w:t>
            </w:r>
            <w:r w:rsidR="001B36C0">
              <w:t xml:space="preserve">always </w:t>
            </w:r>
            <w:r>
              <w:t>about the availability</w:t>
            </w:r>
            <w:r w:rsidR="00F7688E">
              <w:t xml:space="preserve"> of the medicine, but</w:t>
            </w:r>
            <w:r>
              <w:t xml:space="preserve"> the cost the pharmacy </w:t>
            </w:r>
            <w:r w:rsidR="009E1DF7">
              <w:t>must</w:t>
            </w:r>
            <w:r>
              <w:t xml:space="preserve"> </w:t>
            </w:r>
            <w:r w:rsidR="001B36C0">
              <w:t>pay.</w:t>
            </w:r>
          </w:p>
          <w:p w14:paraId="0D785BC2" w14:textId="09D89493" w:rsidR="00031555" w:rsidRDefault="001B36C0" w:rsidP="001B36C0">
            <w:pPr>
              <w:pStyle w:val="ListParagraph"/>
              <w:numPr>
                <w:ilvl w:val="0"/>
                <w:numId w:val="24"/>
              </w:numPr>
            </w:pPr>
            <w:r>
              <w:t>S</w:t>
            </w:r>
            <w:r w:rsidR="00F7688E">
              <w:t>ometimes there may stock in the system but at an inflated price,</w:t>
            </w:r>
            <w:r w:rsidR="00031555">
              <w:t xml:space="preserve"> </w:t>
            </w:r>
            <w:r>
              <w:t>the</w:t>
            </w:r>
            <w:r w:rsidR="00031555">
              <w:t xml:space="preserve"> pharmac</w:t>
            </w:r>
            <w:r>
              <w:t>y</w:t>
            </w:r>
            <w:r w:rsidR="00031555">
              <w:t xml:space="preserve"> can’t afford to </w:t>
            </w:r>
            <w:r>
              <w:t>buy it.</w:t>
            </w:r>
          </w:p>
          <w:p w14:paraId="4EA1E911" w14:textId="25003803" w:rsidR="00BD0B94" w:rsidRDefault="00BD0B94" w:rsidP="001B36C0">
            <w:pPr>
              <w:pStyle w:val="ListParagraph"/>
              <w:numPr>
                <w:ilvl w:val="0"/>
                <w:numId w:val="24"/>
              </w:numPr>
            </w:pPr>
            <w:r>
              <w:t>Drive towards more clinical service delivery focused contract (Wales highlighted as an example), the reimbursement for dispensing has made it not profitable. This has exacerbated the supply issue.</w:t>
            </w:r>
          </w:p>
          <w:p w14:paraId="28E0E49F" w14:textId="77777777" w:rsidR="00F7688E" w:rsidRDefault="00F7688E" w:rsidP="00F7688E">
            <w:pPr>
              <w:pStyle w:val="ListParagraph"/>
            </w:pPr>
          </w:p>
          <w:p w14:paraId="23C71CBE" w14:textId="17F8426D" w:rsidR="00F7688E" w:rsidRPr="00BD0B94" w:rsidRDefault="00BD0B94" w:rsidP="00F7688E">
            <w:pPr>
              <w:pStyle w:val="ListParagraph"/>
              <w:rPr>
                <w:b/>
                <w:bCs/>
              </w:rPr>
            </w:pPr>
            <w:r w:rsidRPr="00BD0B94">
              <w:rPr>
                <w:b/>
                <w:bCs/>
              </w:rPr>
              <w:t>System resilience</w:t>
            </w:r>
          </w:p>
          <w:p w14:paraId="538C536F" w14:textId="78258E0B" w:rsidR="001B36C0" w:rsidRDefault="001B36C0" w:rsidP="00CF1795">
            <w:pPr>
              <w:pStyle w:val="ListParagraph"/>
              <w:numPr>
                <w:ilvl w:val="0"/>
                <w:numId w:val="24"/>
              </w:numPr>
            </w:pPr>
            <w:r>
              <w:t xml:space="preserve">There appears to be </w:t>
            </w:r>
            <w:r w:rsidR="00BD0B94">
              <w:t>little</w:t>
            </w:r>
            <w:r w:rsidR="007337F1">
              <w:t xml:space="preserve"> resilience in the system </w:t>
            </w:r>
            <w:r>
              <w:t xml:space="preserve">- </w:t>
            </w:r>
            <w:r w:rsidR="007337F1">
              <w:t>market is based on competition</w:t>
            </w:r>
            <w:r>
              <w:t xml:space="preserve">, a </w:t>
            </w:r>
            <w:r w:rsidR="007337F1">
              <w:t>wholesaler would not admit they are running low on st</w:t>
            </w:r>
            <w:r>
              <w:t>o</w:t>
            </w:r>
            <w:r w:rsidR="007337F1">
              <w:t>ck</w:t>
            </w:r>
            <w:r w:rsidR="00BD0B94">
              <w:t xml:space="preserve"> based on fear of losing customers</w:t>
            </w:r>
            <w:r>
              <w:t xml:space="preserve">. </w:t>
            </w:r>
          </w:p>
          <w:p w14:paraId="77206330" w14:textId="77777777" w:rsidR="009E1DF7" w:rsidRDefault="00591068" w:rsidP="003264AD">
            <w:pPr>
              <w:pStyle w:val="ListParagraph"/>
              <w:numPr>
                <w:ilvl w:val="0"/>
                <w:numId w:val="24"/>
              </w:numPr>
            </w:pPr>
            <w:r w:rsidRPr="00591068">
              <w:t xml:space="preserve">Some of the issues </w:t>
            </w:r>
            <w:r w:rsidR="009E1DF7">
              <w:t xml:space="preserve">identified with </w:t>
            </w:r>
            <w:r w:rsidR="009E1DF7" w:rsidRPr="00591068">
              <w:t>product</w:t>
            </w:r>
            <w:r w:rsidRPr="00591068">
              <w:t xml:space="preserve"> switches and stock availability is that pharmacies become increasingly reluctant to hold stock of anything; this means that the 'buffer' of community stock holding is significantly less than perhaps 10 years ago, which mean that small changes in wholesale supply have a bigger patient impact.</w:t>
            </w:r>
          </w:p>
          <w:p w14:paraId="34E19CDF" w14:textId="6405B295" w:rsidR="00591068" w:rsidRDefault="00B33216" w:rsidP="003264AD">
            <w:pPr>
              <w:pStyle w:val="ListParagraph"/>
              <w:numPr>
                <w:ilvl w:val="0"/>
                <w:numId w:val="24"/>
              </w:numPr>
            </w:pPr>
            <w:r>
              <w:t>The are f</w:t>
            </w:r>
            <w:r w:rsidR="00591068" w:rsidRPr="00591068">
              <w:t>inanc</w:t>
            </w:r>
            <w:r w:rsidR="009E1DF7">
              <w:t xml:space="preserve">ial </w:t>
            </w:r>
            <w:r w:rsidR="00591068" w:rsidRPr="00591068">
              <w:t xml:space="preserve">challenges </w:t>
            </w:r>
            <w:r>
              <w:t xml:space="preserve">which may have led </w:t>
            </w:r>
            <w:r w:rsidR="00591068" w:rsidRPr="00591068">
              <w:t>to pharmacies purposely reducing their stock levels for cash flow purposes - but also Hub and Spoke will have contributed to thi</w:t>
            </w:r>
            <w:r w:rsidR="00591068">
              <w:t>s</w:t>
            </w:r>
            <w:r w:rsidR="007E696E">
              <w:t xml:space="preserve"> as the stock is held at central points and not duplicated locally. </w:t>
            </w:r>
          </w:p>
          <w:p w14:paraId="19FEE913" w14:textId="77777777" w:rsidR="00BD0B94" w:rsidRDefault="00BD0B94" w:rsidP="00BD0B94">
            <w:pPr>
              <w:pStyle w:val="ListParagraph"/>
            </w:pPr>
          </w:p>
          <w:p w14:paraId="32FAADA8" w14:textId="2C1CAF5F" w:rsidR="00BD0B94" w:rsidRPr="00BD0B94" w:rsidRDefault="00BD0B94" w:rsidP="00BD0B94">
            <w:pPr>
              <w:pStyle w:val="ListParagraph"/>
              <w:rPr>
                <w:b/>
                <w:bCs/>
              </w:rPr>
            </w:pPr>
            <w:r w:rsidRPr="00BD0B94">
              <w:rPr>
                <w:b/>
                <w:bCs/>
              </w:rPr>
              <w:t>Communication</w:t>
            </w:r>
          </w:p>
          <w:p w14:paraId="51E3308A" w14:textId="377B2DA9" w:rsidR="00BD0B94" w:rsidRDefault="00BD0B94" w:rsidP="00BD0B94">
            <w:pPr>
              <w:pStyle w:val="ListParagraph"/>
              <w:numPr>
                <w:ilvl w:val="0"/>
                <w:numId w:val="24"/>
              </w:numPr>
            </w:pPr>
            <w:r>
              <w:t>Communication across the system is inadequate.</w:t>
            </w:r>
          </w:p>
          <w:p w14:paraId="50DCBC23" w14:textId="350D436B" w:rsidR="00BD0B94" w:rsidRDefault="00BD0B94" w:rsidP="00BD0B94">
            <w:pPr>
              <w:pStyle w:val="ListParagraph"/>
              <w:numPr>
                <w:ilvl w:val="0"/>
                <w:numId w:val="24"/>
              </w:numPr>
            </w:pPr>
            <w:r>
              <w:t xml:space="preserve">There must be better long-term forecasting, sharing of information and understanding what is out (and in) of stock, the reasons for this and accurate timescales for </w:t>
            </w:r>
            <w:proofErr w:type="gramStart"/>
            <w:r>
              <w:t>resolving</w:t>
            </w:r>
            <w:proofErr w:type="gramEnd"/>
          </w:p>
          <w:p w14:paraId="5C7EFAEF" w14:textId="436056B5" w:rsidR="00BD0B94" w:rsidRDefault="00BD0B94" w:rsidP="00BD0B94">
            <w:pPr>
              <w:pStyle w:val="ListParagraph"/>
              <w:numPr>
                <w:ilvl w:val="0"/>
                <w:numId w:val="24"/>
              </w:numPr>
            </w:pPr>
            <w:r>
              <w:t>Prescribing decisions need to be made with an awareness of medicine shortages.</w:t>
            </w:r>
          </w:p>
          <w:p w14:paraId="3B984A9C" w14:textId="79C290F6" w:rsidR="007E696E" w:rsidRDefault="007E696E" w:rsidP="00BD0B94">
            <w:pPr>
              <w:pStyle w:val="ListParagraph"/>
              <w:numPr>
                <w:ilvl w:val="0"/>
                <w:numId w:val="24"/>
              </w:numPr>
            </w:pPr>
            <w:r>
              <w:t xml:space="preserve">Switching by medicines optimisation teams need to factor in all the issues raised above as their work can </w:t>
            </w:r>
            <w:proofErr w:type="gramStart"/>
            <w:r>
              <w:t>in itself create</w:t>
            </w:r>
            <w:proofErr w:type="gramEnd"/>
            <w:r>
              <w:t xml:space="preserve"> shortages and waste. </w:t>
            </w:r>
          </w:p>
          <w:p w14:paraId="20286D64" w14:textId="77777777" w:rsidR="00591068" w:rsidRDefault="00591068" w:rsidP="00591068"/>
          <w:p w14:paraId="4DAFD59A" w14:textId="77777777" w:rsidR="00B86515" w:rsidRDefault="00B86515" w:rsidP="00C76D5B"/>
          <w:p w14:paraId="6EDDB9C6" w14:textId="4BCCC41E" w:rsidR="00B86515" w:rsidRPr="000C7A2D" w:rsidRDefault="00B86515" w:rsidP="00C76D5B"/>
        </w:tc>
      </w:tr>
      <w:tr w:rsidR="00BB2988" w:rsidRPr="000C7A2D" w14:paraId="1C09DAF8" w14:textId="77777777" w:rsidTr="00C76D5B">
        <w:trPr>
          <w:trHeight w:val="568"/>
        </w:trPr>
        <w:tc>
          <w:tcPr>
            <w:tcW w:w="1271" w:type="dxa"/>
          </w:tcPr>
          <w:p w14:paraId="02E917D4" w14:textId="77777777" w:rsidR="00BB2988" w:rsidRPr="004237B3" w:rsidRDefault="00BB2988" w:rsidP="00C76D5B">
            <w:pPr>
              <w:rPr>
                <w:b/>
                <w:bCs/>
              </w:rPr>
            </w:pPr>
          </w:p>
        </w:tc>
        <w:tc>
          <w:tcPr>
            <w:tcW w:w="7745" w:type="dxa"/>
          </w:tcPr>
          <w:p w14:paraId="4343D331" w14:textId="77777777" w:rsidR="00BB2988" w:rsidRPr="000C7A2D" w:rsidRDefault="00BB2988" w:rsidP="00C76D5B"/>
        </w:tc>
      </w:tr>
    </w:tbl>
    <w:p w14:paraId="2F40DAE3" w14:textId="77777777" w:rsidR="00CA621E" w:rsidRDefault="00CA621E" w:rsidP="004130F1">
      <w:pPr>
        <w:spacing w:after="0"/>
      </w:pPr>
    </w:p>
    <w:p w14:paraId="6F100AB2" w14:textId="0F616D47" w:rsidR="0072482C" w:rsidRPr="00EF169A" w:rsidRDefault="00695DCB" w:rsidP="00655078">
      <w:pPr>
        <w:keepNext/>
        <w:keepLines/>
        <w:pBdr>
          <w:bottom w:val="single" w:sz="4" w:space="0" w:color="auto"/>
        </w:pBdr>
        <w:shd w:val="clear" w:color="auto" w:fill="DEEAF6" w:themeFill="accent5" w:themeFillTint="33"/>
        <w:spacing w:before="40" w:after="0"/>
        <w:outlineLvl w:val="1"/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</w:pPr>
      <w:r>
        <w:rPr>
          <w:rFonts w:eastAsiaTheme="majorEastAsia" w:cstheme="minorHAnsi"/>
          <w:b/>
          <w:bCs/>
          <w:color w:val="000000" w:themeColor="text1"/>
          <w:sz w:val="24"/>
          <w:szCs w:val="24"/>
        </w:rPr>
        <w:t>3</w:t>
      </w:r>
      <w:r w:rsidR="002E79F3">
        <w:rPr>
          <w:rFonts w:eastAsiaTheme="majorEastAsia" w:cstheme="minorHAnsi"/>
          <w:b/>
          <w:bCs/>
          <w:color w:val="000000" w:themeColor="text1"/>
          <w:sz w:val="24"/>
          <w:szCs w:val="24"/>
        </w:rPr>
        <w:t xml:space="preserve">: </w:t>
      </w:r>
      <w:r w:rsidR="000D6BCA">
        <w:rPr>
          <w:rFonts w:eastAsiaTheme="majorEastAsia" w:cstheme="minorHAnsi"/>
          <w:b/>
          <w:bCs/>
          <w:color w:val="000000" w:themeColor="text1"/>
          <w:sz w:val="24"/>
          <w:szCs w:val="24"/>
        </w:rPr>
        <w:t xml:space="preserve"> </w:t>
      </w:r>
      <w:r w:rsidR="00EF169A">
        <w:rPr>
          <w:rFonts w:eastAsiaTheme="majorEastAsia" w:cstheme="minorHAnsi"/>
          <w:color w:val="000000" w:themeColor="text1"/>
          <w:sz w:val="24"/>
          <w:szCs w:val="24"/>
        </w:rPr>
        <w:t xml:space="preserve">Patient Safety </w:t>
      </w:r>
      <w:r w:rsidR="00F6198B">
        <w:rPr>
          <w:rFonts w:eastAsiaTheme="majorEastAsia" w:cstheme="minorHAnsi"/>
          <w:color w:val="000000" w:themeColor="text1"/>
          <w:sz w:val="24"/>
          <w:szCs w:val="24"/>
        </w:rPr>
        <w:t xml:space="preserve">professional </w:t>
      </w:r>
      <w:r w:rsidR="00EF169A">
        <w:rPr>
          <w:rFonts w:eastAsiaTheme="majorEastAsia" w:cstheme="minorHAnsi"/>
          <w:color w:val="000000" w:themeColor="text1"/>
          <w:sz w:val="24"/>
          <w:szCs w:val="24"/>
        </w:rPr>
        <w:t>standards – 20 minutes led by Wing/Regina</w:t>
      </w:r>
      <w:r w:rsidR="00DE4A67">
        <w:rPr>
          <w:rFonts w:eastAsiaTheme="majorEastAsia" w:cstheme="minorHAnsi"/>
          <w:color w:val="000000" w:themeColor="text1"/>
          <w:sz w:val="24"/>
          <w:szCs w:val="24"/>
        </w:rPr>
        <w:t>/Janice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72482C" w14:paraId="3258CCBD" w14:textId="77777777" w:rsidTr="00B37E84">
        <w:trPr>
          <w:trHeight w:val="608"/>
        </w:trPr>
        <w:tc>
          <w:tcPr>
            <w:tcW w:w="1271" w:type="dxa"/>
          </w:tcPr>
          <w:p w14:paraId="55774161" w14:textId="45D536FF" w:rsidR="0072482C" w:rsidRPr="00C90D6E" w:rsidRDefault="00852BE8" w:rsidP="00B37E84">
            <w:pPr>
              <w:rPr>
                <w:b/>
                <w:bCs/>
              </w:rPr>
            </w:pPr>
            <w:bookmarkStart w:id="0" w:name="_Hlk120111466"/>
            <w:r>
              <w:rPr>
                <w:b/>
                <w:bCs/>
              </w:rPr>
              <w:t>Description</w:t>
            </w:r>
          </w:p>
        </w:tc>
        <w:tc>
          <w:tcPr>
            <w:tcW w:w="7745" w:type="dxa"/>
          </w:tcPr>
          <w:p w14:paraId="6B1FBF2F" w14:textId="4BC3DB9F" w:rsidR="00DD7B2D" w:rsidRPr="00D753D3" w:rsidRDefault="00F6198B" w:rsidP="00DD7B2D">
            <w:pPr>
              <w:shd w:val="clear" w:color="auto" w:fill="FFFFFF"/>
              <w:spacing w:after="165" w:line="390" w:lineRule="atLeast"/>
              <w:textAlignment w:val="baseline"/>
              <w:rPr>
                <w:rFonts w:cstheme="minorHAnsi"/>
                <w:spacing w:val="8"/>
              </w:rPr>
            </w:pPr>
            <w:r>
              <w:rPr>
                <w:rFonts w:cstheme="minorHAnsi"/>
                <w:spacing w:val="8"/>
              </w:rPr>
              <w:t xml:space="preserve">To highlight to CPEAG the work of the RPS in this area and the recently published updated standards, found </w:t>
            </w:r>
            <w:hyperlink r:id="rId9" w:anchor=":~:text=The%20Patient%20safety%20professional%20standards,systems%20of%20care%2C%20and%20provide" w:history="1">
              <w:r w:rsidRPr="00F6198B">
                <w:rPr>
                  <w:rStyle w:val="Hyperlink"/>
                  <w:rFonts w:cstheme="minorHAnsi"/>
                  <w:spacing w:val="8"/>
                </w:rPr>
                <w:t>here</w:t>
              </w:r>
            </w:hyperlink>
            <w:r>
              <w:rPr>
                <w:rFonts w:cstheme="minorHAnsi"/>
                <w:spacing w:val="8"/>
              </w:rPr>
              <w:t>.</w:t>
            </w:r>
          </w:p>
          <w:p w14:paraId="212F835E" w14:textId="148867EA" w:rsidR="000E4BB0" w:rsidRPr="00D753D3" w:rsidRDefault="000E4BB0" w:rsidP="000D6BCA">
            <w:pPr>
              <w:rPr>
                <w:rFonts w:cstheme="minorHAnsi"/>
              </w:rPr>
            </w:pPr>
          </w:p>
          <w:p w14:paraId="5C6BE5B9" w14:textId="34D37D1F" w:rsidR="00655078" w:rsidRPr="00D753D3" w:rsidRDefault="00655078" w:rsidP="000D6BCA">
            <w:pPr>
              <w:rPr>
                <w:rFonts w:cstheme="minorHAnsi"/>
              </w:rPr>
            </w:pPr>
          </w:p>
        </w:tc>
      </w:tr>
      <w:tr w:rsidR="00852BE8" w14:paraId="7DC83DD6" w14:textId="77777777" w:rsidTr="00B37E84">
        <w:trPr>
          <w:trHeight w:val="608"/>
        </w:trPr>
        <w:tc>
          <w:tcPr>
            <w:tcW w:w="1271" w:type="dxa"/>
          </w:tcPr>
          <w:p w14:paraId="393E102A" w14:textId="692A07F0" w:rsidR="00852BE8" w:rsidRPr="00C90D6E" w:rsidRDefault="00852BE8" w:rsidP="00B37E8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Purpose</w:t>
            </w:r>
          </w:p>
        </w:tc>
        <w:tc>
          <w:tcPr>
            <w:tcW w:w="7745" w:type="dxa"/>
          </w:tcPr>
          <w:p w14:paraId="1CFF00A3" w14:textId="5979B768" w:rsidR="00852BE8" w:rsidRPr="00AF3A39" w:rsidRDefault="00F6198B" w:rsidP="00EF169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For information and background and to </w:t>
            </w:r>
            <w:r w:rsidR="00DE4A67">
              <w:rPr>
                <w:rFonts w:cstheme="minorHAnsi"/>
              </w:rPr>
              <w:t>support</w:t>
            </w:r>
            <w:r>
              <w:rPr>
                <w:rFonts w:cstheme="minorHAnsi"/>
              </w:rPr>
              <w:t xml:space="preserve"> CPEAG members</w:t>
            </w:r>
            <w:r w:rsidR="00DE4A67">
              <w:rPr>
                <w:rFonts w:cstheme="minorHAnsi"/>
              </w:rPr>
              <w:t>, as part of the wider profession, in r</w:t>
            </w:r>
            <w:r w:rsidR="00DE4A67" w:rsidRPr="00DE4A67">
              <w:rPr>
                <w:rFonts w:cstheme="minorHAnsi"/>
              </w:rPr>
              <w:t>esponding to patient safety incidents.</w:t>
            </w:r>
          </w:p>
        </w:tc>
      </w:tr>
      <w:bookmarkEnd w:id="0"/>
      <w:tr w:rsidR="0072482C" w14:paraId="4F8AC75B" w14:textId="77777777" w:rsidTr="00AB2248">
        <w:trPr>
          <w:trHeight w:val="528"/>
        </w:trPr>
        <w:tc>
          <w:tcPr>
            <w:tcW w:w="1271" w:type="dxa"/>
          </w:tcPr>
          <w:p w14:paraId="13B34308" w14:textId="77777777" w:rsidR="0072482C" w:rsidRPr="00C90D6E" w:rsidRDefault="0072482C" w:rsidP="00B37E84">
            <w:pPr>
              <w:rPr>
                <w:b/>
                <w:bCs/>
              </w:rPr>
            </w:pPr>
            <w:r>
              <w:rPr>
                <w:b/>
                <w:bCs/>
              </w:rPr>
              <w:t>Outcome</w:t>
            </w:r>
            <w:r w:rsidRPr="00C90D6E">
              <w:rPr>
                <w:b/>
                <w:bCs/>
              </w:rPr>
              <w:t>s</w:t>
            </w:r>
          </w:p>
        </w:tc>
        <w:tc>
          <w:tcPr>
            <w:tcW w:w="7745" w:type="dxa"/>
          </w:tcPr>
          <w:p w14:paraId="7217C742" w14:textId="77777777" w:rsidR="0072482C" w:rsidRDefault="0085262A" w:rsidP="00B37E84">
            <w:r>
              <w:t xml:space="preserve">To be agreed and completed at the meeting as a </w:t>
            </w:r>
            <w:proofErr w:type="gramStart"/>
            <w:r>
              <w:t>record</w:t>
            </w:r>
            <w:proofErr w:type="gramEnd"/>
          </w:p>
          <w:p w14:paraId="7225C4C7" w14:textId="77777777" w:rsidR="009E1DF7" w:rsidRDefault="009E1DF7" w:rsidP="00B37E84"/>
          <w:p w14:paraId="0DE259C1" w14:textId="7A24FDDA" w:rsidR="009E1DF7" w:rsidRDefault="009E1DF7" w:rsidP="00B37E84">
            <w:r>
              <w:t>Wing</w:t>
            </w:r>
            <w:r w:rsidR="00B33216">
              <w:t xml:space="preserve"> Tang</w:t>
            </w:r>
            <w:r>
              <w:t xml:space="preserve"> gave an update on the Patient Safety Professional Standards.</w:t>
            </w:r>
          </w:p>
          <w:p w14:paraId="550CC055" w14:textId="4F06395F" w:rsidR="009E1DF7" w:rsidRDefault="009E1DF7" w:rsidP="009E1DF7">
            <w:pPr>
              <w:pStyle w:val="ListParagraph"/>
              <w:numPr>
                <w:ilvl w:val="0"/>
                <w:numId w:val="25"/>
              </w:numPr>
            </w:pPr>
            <w:r>
              <w:t>New Patient Safety Officer has been recruited and will start in July.</w:t>
            </w:r>
          </w:p>
          <w:p w14:paraId="1A91F26D" w14:textId="417ED154" w:rsidR="00A629F3" w:rsidRDefault="009E1DF7" w:rsidP="009E1DF7">
            <w:pPr>
              <w:pStyle w:val="ListParagraph"/>
              <w:numPr>
                <w:ilvl w:val="0"/>
                <w:numId w:val="25"/>
              </w:numPr>
            </w:pPr>
            <w:r>
              <w:t>Gender incongruence – post</w:t>
            </w:r>
            <w:r w:rsidR="00BD0B94">
              <w:t xml:space="preserve"> the</w:t>
            </w:r>
            <w:r>
              <w:t xml:space="preserve"> CAS</w:t>
            </w:r>
            <w:r w:rsidR="00BD0B94">
              <w:t>S review</w:t>
            </w:r>
            <w:r>
              <w:t xml:space="preserve"> </w:t>
            </w:r>
            <w:r w:rsidR="00A629F3">
              <w:t>there have been changes across the system to make things clearer in community pharmacy.</w:t>
            </w:r>
          </w:p>
          <w:p w14:paraId="7E9EAE57" w14:textId="0618E322" w:rsidR="00A629F3" w:rsidRDefault="00A629F3" w:rsidP="002F49C0">
            <w:pPr>
              <w:pStyle w:val="ListParagraph"/>
              <w:numPr>
                <w:ilvl w:val="0"/>
                <w:numId w:val="25"/>
              </w:numPr>
            </w:pPr>
            <w:r>
              <w:t>Concerns were raised for existing patients – implications of stopping treatment e</w:t>
            </w:r>
            <w:r w:rsidR="00BD0B94">
              <w:t>.</w:t>
            </w:r>
            <w:r>
              <w:t>g</w:t>
            </w:r>
            <w:r w:rsidR="00BD0B94">
              <w:t>.</w:t>
            </w:r>
            <w:r>
              <w:t xml:space="preserve"> mental health</w:t>
            </w:r>
            <w:r w:rsidR="00BD0B94">
              <w:t>,</w:t>
            </w:r>
            <w:r>
              <w:t xml:space="preserve"> fear of self-harm, no referral pathway in place.</w:t>
            </w:r>
          </w:p>
          <w:p w14:paraId="13E2FD7B" w14:textId="3EBF4961" w:rsidR="00A629F3" w:rsidRDefault="00A629F3" w:rsidP="002F49C0">
            <w:pPr>
              <w:pStyle w:val="ListParagraph"/>
              <w:numPr>
                <w:ilvl w:val="0"/>
                <w:numId w:val="25"/>
              </w:numPr>
            </w:pPr>
            <w:r>
              <w:t>Better comm</w:t>
            </w:r>
            <w:r w:rsidR="00BD0B94">
              <w:t>unication</w:t>
            </w:r>
            <w:r>
              <w:t xml:space="preserve"> is needed to communicate the changes, of how to help and support</w:t>
            </w:r>
            <w:r w:rsidR="00B33216">
              <w:t>.</w:t>
            </w:r>
          </w:p>
          <w:p w14:paraId="25D33CA8" w14:textId="1231FD3A" w:rsidR="00B33216" w:rsidRDefault="00B33216" w:rsidP="002F49C0">
            <w:pPr>
              <w:pStyle w:val="ListParagraph"/>
              <w:numPr>
                <w:ilvl w:val="0"/>
                <w:numId w:val="25"/>
              </w:numPr>
            </w:pPr>
            <w:r>
              <w:t xml:space="preserve">Work is ongoing to look at the source of the </w:t>
            </w:r>
            <w:r w:rsidR="00BD0B94">
              <w:t>prescriptions</w:t>
            </w:r>
            <w:r w:rsidR="00844452">
              <w:t xml:space="preserve"> many of which are outside the UK. </w:t>
            </w:r>
          </w:p>
          <w:p w14:paraId="5F1F519C" w14:textId="5C64A002" w:rsidR="009E1DF7" w:rsidRPr="00CA621E" w:rsidRDefault="009E1DF7" w:rsidP="00B37E84"/>
        </w:tc>
      </w:tr>
    </w:tbl>
    <w:p w14:paraId="721B9708" w14:textId="77777777" w:rsidR="0072482C" w:rsidRDefault="0072482C" w:rsidP="004130F1">
      <w:pPr>
        <w:spacing w:after="0"/>
      </w:pPr>
    </w:p>
    <w:p w14:paraId="7423E857" w14:textId="69715AA2" w:rsidR="00096DE7" w:rsidRPr="00EF169A" w:rsidRDefault="00FE7249" w:rsidP="00096DE7">
      <w:pPr>
        <w:pStyle w:val="Heading2"/>
        <w:pBdr>
          <w:bottom w:val="single" w:sz="4" w:space="1" w:color="auto"/>
        </w:pBdr>
        <w:shd w:val="clear" w:color="auto" w:fill="DEEAF6" w:themeFill="accent5" w:themeFillTint="3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3EB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4</w:t>
      </w:r>
      <w:r w:rsidR="00096DE7" w:rsidRPr="00803EB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. </w:t>
      </w:r>
      <w:r w:rsidR="003B565C" w:rsidRPr="00803EB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EF169A">
        <w:rPr>
          <w:rFonts w:asciiTheme="minorHAnsi" w:hAnsiTheme="minorHAnsi" w:cstheme="minorHAnsi"/>
          <w:color w:val="000000" w:themeColor="text1"/>
          <w:sz w:val="24"/>
          <w:szCs w:val="24"/>
        </w:rPr>
        <w:t>Overprescribing – 30 mins Led by Clare Thompson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096DE7" w:rsidRPr="00096DE7" w14:paraId="76819742" w14:textId="77777777" w:rsidTr="00165AB7">
        <w:trPr>
          <w:trHeight w:val="638"/>
        </w:trPr>
        <w:tc>
          <w:tcPr>
            <w:tcW w:w="1271" w:type="dxa"/>
          </w:tcPr>
          <w:p w14:paraId="20953EA1" w14:textId="0D2C5435" w:rsidR="00096DE7" w:rsidRPr="00B746EA" w:rsidRDefault="00E049D5" w:rsidP="00165AB7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  <w:r w:rsidR="00B746EA" w:rsidRPr="00B746EA">
              <w:rPr>
                <w:b/>
                <w:bCs/>
              </w:rPr>
              <w:t xml:space="preserve"> </w:t>
            </w:r>
          </w:p>
        </w:tc>
        <w:tc>
          <w:tcPr>
            <w:tcW w:w="7745" w:type="dxa"/>
          </w:tcPr>
          <w:p w14:paraId="08F3D5A6" w14:textId="77777777" w:rsidR="00DE4A67" w:rsidRDefault="00DE4A67" w:rsidP="00DE4A67">
            <w:r>
              <w:t>NHS England commissioned the RPS and the RCGP to develop a Repeat Prescribing Toolkit to help practices to improve the consistency of repeat prescribing processes and support this with training resources for GP practice reception and administration teams. </w:t>
            </w:r>
          </w:p>
          <w:p w14:paraId="15C5CF62" w14:textId="0631FBB7" w:rsidR="00DD7B2D" w:rsidRDefault="00DE4A67" w:rsidP="00DE4A67">
            <w:pPr>
              <w:spacing w:after="160" w:line="259" w:lineRule="auto"/>
            </w:pPr>
            <w:r>
              <w:t>This was a direct recommendation from the </w:t>
            </w:r>
            <w:hyperlink r:id="rId10" w:history="1">
              <w:r>
                <w:rPr>
                  <w:rStyle w:val="Hyperlink"/>
                </w:rPr>
                <w:t>National Over Prescribing Review</w:t>
              </w:r>
            </w:hyperlink>
            <w:r>
              <w:t> (2021) and will be the first guidance related to repeat prescribing since 2004.</w:t>
            </w:r>
          </w:p>
          <w:p w14:paraId="1890650E" w14:textId="24B853AE" w:rsidR="00DD7B2D" w:rsidRPr="001A4300" w:rsidRDefault="00DD7B2D" w:rsidP="00EF169A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049D5" w:rsidRPr="00096DE7" w14:paraId="23380B9F" w14:textId="77777777" w:rsidTr="00165AB7">
        <w:trPr>
          <w:trHeight w:val="638"/>
        </w:trPr>
        <w:tc>
          <w:tcPr>
            <w:tcW w:w="1271" w:type="dxa"/>
          </w:tcPr>
          <w:p w14:paraId="2BD30911" w14:textId="3281D4A1" w:rsidR="00E049D5" w:rsidRPr="00B746EA" w:rsidRDefault="00E049D5" w:rsidP="00165AB7">
            <w:pPr>
              <w:rPr>
                <w:b/>
                <w:bCs/>
              </w:rPr>
            </w:pPr>
            <w:r>
              <w:rPr>
                <w:b/>
                <w:bCs/>
              </w:rPr>
              <w:t>Purpose</w:t>
            </w:r>
          </w:p>
        </w:tc>
        <w:tc>
          <w:tcPr>
            <w:tcW w:w="7745" w:type="dxa"/>
          </w:tcPr>
          <w:p w14:paraId="5A0F979B" w14:textId="33D3CE33" w:rsidR="00E049D5" w:rsidRDefault="00DE4A67" w:rsidP="00165AB7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To provide feedback on the attached toolkit, please see all details within email.</w:t>
            </w:r>
          </w:p>
        </w:tc>
      </w:tr>
      <w:tr w:rsidR="003343B0" w:rsidRPr="00096DE7" w14:paraId="3F27302F" w14:textId="77777777" w:rsidTr="00165AB7">
        <w:trPr>
          <w:trHeight w:val="638"/>
        </w:trPr>
        <w:tc>
          <w:tcPr>
            <w:tcW w:w="1271" w:type="dxa"/>
          </w:tcPr>
          <w:p w14:paraId="325AFDF2" w14:textId="2F716DAE" w:rsidR="003343B0" w:rsidRDefault="003343B0" w:rsidP="00165AB7">
            <w:pPr>
              <w:rPr>
                <w:b/>
                <w:bCs/>
              </w:rPr>
            </w:pPr>
            <w:r>
              <w:rPr>
                <w:b/>
                <w:bCs/>
              </w:rPr>
              <w:t>Outcome</w:t>
            </w:r>
          </w:p>
        </w:tc>
        <w:tc>
          <w:tcPr>
            <w:tcW w:w="7745" w:type="dxa"/>
          </w:tcPr>
          <w:p w14:paraId="0B93ACB4" w14:textId="31C2AC08" w:rsidR="003343B0" w:rsidRDefault="003343B0" w:rsidP="00165AB7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To be agreed and completed at the meeting as a record</w:t>
            </w:r>
            <w:r w:rsidR="00B33216">
              <w:rPr>
                <w:rFonts w:ascii="Calibri" w:hAnsi="Calibri" w:cs="Calibri"/>
                <w:color w:val="000000" w:themeColor="text1"/>
              </w:rPr>
              <w:t>.</w:t>
            </w:r>
          </w:p>
          <w:p w14:paraId="4FA2C093" w14:textId="77777777" w:rsidR="00B33216" w:rsidRDefault="00B33216" w:rsidP="00165AB7">
            <w:pPr>
              <w:rPr>
                <w:rFonts w:ascii="Calibri" w:hAnsi="Calibri" w:cs="Calibri"/>
                <w:color w:val="000000" w:themeColor="text1"/>
              </w:rPr>
            </w:pPr>
          </w:p>
          <w:p w14:paraId="105B0C5B" w14:textId="1DACB405" w:rsidR="00B33216" w:rsidRDefault="00B33216" w:rsidP="00B33216">
            <w:pPr>
              <w:rPr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Claire Thompson set the background to the previously circulated </w:t>
            </w:r>
            <w:r w:rsidRPr="00B33216">
              <w:rPr>
                <w:kern w:val="2"/>
                <w14:ligatures w14:val="standardContextual"/>
              </w:rPr>
              <w:t>RCGP RPS REPEAT PRESCRIBING TOOLKIT</w:t>
            </w:r>
          </w:p>
          <w:p w14:paraId="0B897BE2" w14:textId="573EDCC7" w:rsidR="00B33216" w:rsidRDefault="00AD1763" w:rsidP="00B33216">
            <w:pPr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In discussion the following points were raised: -</w:t>
            </w:r>
          </w:p>
          <w:p w14:paraId="1F7E9613" w14:textId="77777777" w:rsidR="00AD1763" w:rsidRPr="00AD1763" w:rsidRDefault="00AD1763" w:rsidP="00B33216">
            <w:pPr>
              <w:rPr>
                <w:kern w:val="2"/>
                <w14:ligatures w14:val="standardContextual"/>
              </w:rPr>
            </w:pPr>
          </w:p>
          <w:p w14:paraId="36DE9040" w14:textId="4C4A781A" w:rsidR="00B33216" w:rsidRDefault="00B33216" w:rsidP="00B33216">
            <w:pPr>
              <w:pStyle w:val="ListParagraph"/>
              <w:numPr>
                <w:ilvl w:val="0"/>
                <w:numId w:val="26"/>
              </w:numPr>
              <w:rPr>
                <w:kern w:val="2"/>
                <w14:ligatures w14:val="standardContextual"/>
              </w:rPr>
            </w:pPr>
            <w:r w:rsidRPr="00B33216">
              <w:rPr>
                <w:kern w:val="2"/>
                <w14:ligatures w14:val="standardContextual"/>
              </w:rPr>
              <w:t xml:space="preserve">The toolkit </w:t>
            </w:r>
            <w:r>
              <w:rPr>
                <w:kern w:val="2"/>
                <w14:ligatures w14:val="standardContextual"/>
              </w:rPr>
              <w:t>is expected to be adopted in Scotland and Wales.</w:t>
            </w:r>
          </w:p>
          <w:p w14:paraId="542A4D9D" w14:textId="1BE766DD" w:rsidR="00B33216" w:rsidRDefault="00AD1763" w:rsidP="00B33216">
            <w:pPr>
              <w:pStyle w:val="ListParagraph"/>
              <w:numPr>
                <w:ilvl w:val="0"/>
                <w:numId w:val="26"/>
              </w:numPr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Guidance is not mandatory and is aimed at GP</w:t>
            </w:r>
            <w:r w:rsidR="00684F9E">
              <w:rPr>
                <w:kern w:val="2"/>
                <w14:ligatures w14:val="standardContextual"/>
              </w:rPr>
              <w:t xml:space="preserve"> practices, but everyone has a part to play</w:t>
            </w:r>
            <w:r>
              <w:rPr>
                <w:kern w:val="2"/>
                <w14:ligatures w14:val="standardContextual"/>
              </w:rPr>
              <w:t>.</w:t>
            </w:r>
          </w:p>
          <w:p w14:paraId="75FD9508" w14:textId="11DBAABD" w:rsidR="00AD1763" w:rsidRDefault="00AD1763" w:rsidP="00B33216">
            <w:pPr>
              <w:pStyle w:val="ListParagraph"/>
              <w:numPr>
                <w:ilvl w:val="0"/>
                <w:numId w:val="26"/>
              </w:numPr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The document </w:t>
            </w:r>
            <w:r w:rsidR="00684F9E">
              <w:rPr>
                <w:kern w:val="2"/>
                <w14:ligatures w14:val="standardContextual"/>
              </w:rPr>
              <w:t xml:space="preserve">was considered potentially too big to be able to be digested and </w:t>
            </w:r>
            <w:r w:rsidR="00844452">
              <w:rPr>
                <w:kern w:val="2"/>
                <w14:ligatures w14:val="standardContextual"/>
              </w:rPr>
              <w:t xml:space="preserve">implemented </w:t>
            </w:r>
            <w:r w:rsidR="00684F9E">
              <w:rPr>
                <w:kern w:val="2"/>
                <w14:ligatures w14:val="standardContextual"/>
              </w:rPr>
              <w:t>by pharmacy teams.</w:t>
            </w:r>
          </w:p>
          <w:p w14:paraId="7FEC19F2" w14:textId="2432EC77" w:rsidR="00F32449" w:rsidRDefault="00F32449" w:rsidP="00B33216">
            <w:pPr>
              <w:pStyle w:val="ListParagraph"/>
              <w:numPr>
                <w:ilvl w:val="0"/>
                <w:numId w:val="26"/>
              </w:numPr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It was suggested th</w:t>
            </w:r>
            <w:r w:rsidR="00D6238D">
              <w:rPr>
                <w:kern w:val="2"/>
                <w14:ligatures w14:val="standardContextual"/>
              </w:rPr>
              <w:t xml:space="preserve">at consideration is given to grouping the </w:t>
            </w:r>
            <w:r>
              <w:rPr>
                <w:kern w:val="2"/>
                <w14:ligatures w14:val="standardContextual"/>
              </w:rPr>
              <w:t xml:space="preserve">pharmacy </w:t>
            </w:r>
            <w:r w:rsidR="00D6238D">
              <w:rPr>
                <w:kern w:val="2"/>
                <w14:ligatures w14:val="standardContextual"/>
              </w:rPr>
              <w:t xml:space="preserve">sections </w:t>
            </w:r>
            <w:proofErr w:type="gramStart"/>
            <w:r w:rsidR="00D6238D">
              <w:rPr>
                <w:kern w:val="2"/>
                <w14:ligatures w14:val="standardContextual"/>
              </w:rPr>
              <w:t>together</w:t>
            </w:r>
            <w:proofErr w:type="gramEnd"/>
            <w:r w:rsidR="00D6238D">
              <w:rPr>
                <w:kern w:val="2"/>
                <w14:ligatures w14:val="standardContextual"/>
              </w:rPr>
              <w:t xml:space="preserve"> </w:t>
            </w:r>
          </w:p>
          <w:p w14:paraId="534434DF" w14:textId="225970B4" w:rsidR="00AD1763" w:rsidRDefault="00AD1763" w:rsidP="00B33216">
            <w:pPr>
              <w:pStyle w:val="ListParagraph"/>
              <w:numPr>
                <w:ilvl w:val="0"/>
                <w:numId w:val="26"/>
              </w:numPr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Page 40 – the questions for community pharmac</w:t>
            </w:r>
            <w:r w:rsidR="00F32449">
              <w:rPr>
                <w:kern w:val="2"/>
                <w14:ligatures w14:val="standardContextual"/>
              </w:rPr>
              <w:t>y</w:t>
            </w:r>
            <w:r>
              <w:rPr>
                <w:kern w:val="2"/>
                <w14:ligatures w14:val="standardContextual"/>
              </w:rPr>
              <w:t xml:space="preserve"> and dispens</w:t>
            </w:r>
            <w:r w:rsidR="00F32449">
              <w:rPr>
                <w:kern w:val="2"/>
                <w14:ligatures w14:val="standardContextual"/>
              </w:rPr>
              <w:t>ing</w:t>
            </w:r>
            <w:r>
              <w:rPr>
                <w:kern w:val="2"/>
                <w14:ligatures w14:val="standardContextual"/>
              </w:rPr>
              <w:t xml:space="preserve"> practices don’t reflect current practice.</w:t>
            </w:r>
          </w:p>
          <w:p w14:paraId="04AC453D" w14:textId="6C647E2E" w:rsidR="00AD1763" w:rsidRDefault="00AD1763" w:rsidP="00B33216">
            <w:pPr>
              <w:pStyle w:val="ListParagraph"/>
              <w:numPr>
                <w:ilvl w:val="0"/>
                <w:numId w:val="26"/>
              </w:numPr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Non urgent queries create additional paperwork.</w:t>
            </w:r>
          </w:p>
          <w:p w14:paraId="1C4C4228" w14:textId="77777777" w:rsidR="00684F9E" w:rsidRDefault="00684F9E" w:rsidP="00684F9E">
            <w:pPr>
              <w:pStyle w:val="ListParagraph"/>
              <w:rPr>
                <w:kern w:val="2"/>
                <w14:ligatures w14:val="standardContextual"/>
              </w:rPr>
            </w:pPr>
          </w:p>
          <w:p w14:paraId="67CD0434" w14:textId="716D7979" w:rsidR="00B33216" w:rsidRDefault="00AD1763" w:rsidP="00165AB7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A revised draft will be sent to CPEAG</w:t>
            </w:r>
            <w:r w:rsidR="00F32449">
              <w:rPr>
                <w:rFonts w:ascii="Calibri" w:hAnsi="Calibri" w:cs="Calibri"/>
                <w:color w:val="000000" w:themeColor="text1"/>
              </w:rPr>
              <w:t xml:space="preserve"> for review and comment</w:t>
            </w:r>
          </w:p>
        </w:tc>
      </w:tr>
    </w:tbl>
    <w:p w14:paraId="13BBE4F3" w14:textId="77777777" w:rsidR="00B71420" w:rsidRDefault="00B71420" w:rsidP="002D1B7D">
      <w:pPr>
        <w:spacing w:after="0"/>
      </w:pPr>
    </w:p>
    <w:p w14:paraId="1FB8A738" w14:textId="6B8AD5A9" w:rsidR="00DD7B2D" w:rsidRPr="00DD7B2D" w:rsidRDefault="00DD7B2D" w:rsidP="00DD7B2D">
      <w:pPr>
        <w:keepNext/>
        <w:keepLines/>
        <w:pBdr>
          <w:bottom w:val="single" w:sz="4" w:space="0" w:color="auto"/>
        </w:pBdr>
        <w:shd w:val="clear" w:color="auto" w:fill="DEEAF6" w:themeFill="accent5" w:themeFillTint="33"/>
        <w:spacing w:before="40"/>
        <w:outlineLvl w:val="1"/>
        <w:rPr>
          <w:rFonts w:asciiTheme="majorHAnsi" w:eastAsiaTheme="majorEastAsia" w:hAnsiTheme="majorHAnsi" w:cstheme="majorHAnsi"/>
          <w:b/>
          <w:bCs/>
          <w:color w:val="000000" w:themeColor="text1"/>
          <w:sz w:val="24"/>
          <w:szCs w:val="24"/>
        </w:rPr>
      </w:pPr>
      <w:r>
        <w:rPr>
          <w:rFonts w:eastAsiaTheme="majorEastAsia" w:cstheme="minorHAnsi"/>
          <w:b/>
          <w:bCs/>
          <w:color w:val="000000" w:themeColor="text1"/>
          <w:sz w:val="24"/>
          <w:szCs w:val="24"/>
        </w:rPr>
        <w:lastRenderedPageBreak/>
        <w:t xml:space="preserve">5:  AOB – 10 mins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DD7B2D" w14:paraId="6332DEB4" w14:textId="77777777" w:rsidTr="00DD7B2D">
        <w:tc>
          <w:tcPr>
            <w:tcW w:w="1271" w:type="dxa"/>
          </w:tcPr>
          <w:p w14:paraId="5ED196B0" w14:textId="59DCE5B3" w:rsidR="00DD7B2D" w:rsidRDefault="00DD7B2D" w:rsidP="00DD7B2D">
            <w:r>
              <w:rPr>
                <w:b/>
                <w:bCs/>
              </w:rPr>
              <w:t>Description</w:t>
            </w:r>
          </w:p>
        </w:tc>
        <w:tc>
          <w:tcPr>
            <w:tcW w:w="7745" w:type="dxa"/>
          </w:tcPr>
          <w:p w14:paraId="0FF37FCB" w14:textId="77777777" w:rsidR="00DD7B2D" w:rsidRDefault="00DD7B2D" w:rsidP="00DD7B2D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To discuss </w:t>
            </w:r>
          </w:p>
          <w:p w14:paraId="298EB7EE" w14:textId="57AFF860" w:rsidR="00D753D3" w:rsidRPr="00D753D3" w:rsidRDefault="00D753D3" w:rsidP="00DD7B2D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D7B2D" w14:paraId="0B6B17E7" w14:textId="77777777" w:rsidTr="00DD7B2D">
        <w:tc>
          <w:tcPr>
            <w:tcW w:w="1271" w:type="dxa"/>
          </w:tcPr>
          <w:p w14:paraId="319696E7" w14:textId="56D1F9DF" w:rsidR="00DD7B2D" w:rsidRDefault="00DD7B2D" w:rsidP="00DD7B2D">
            <w:r>
              <w:rPr>
                <w:b/>
                <w:bCs/>
              </w:rPr>
              <w:t>Outcomes</w:t>
            </w:r>
          </w:p>
        </w:tc>
        <w:tc>
          <w:tcPr>
            <w:tcW w:w="7745" w:type="dxa"/>
          </w:tcPr>
          <w:p w14:paraId="384DA48B" w14:textId="77777777" w:rsidR="00DD7B2D" w:rsidRDefault="00DD7B2D" w:rsidP="00DD7B2D">
            <w:r>
              <w:t xml:space="preserve">To be agreed and completed at the meeting </w:t>
            </w:r>
            <w:proofErr w:type="gramStart"/>
            <w:r>
              <w:t>e</w:t>
            </w:r>
            <w:r w:rsidR="00D753D3">
              <w:t>nd</w:t>
            </w:r>
            <w:proofErr w:type="gramEnd"/>
          </w:p>
          <w:p w14:paraId="56B86B7E" w14:textId="77777777" w:rsidR="00F32449" w:rsidRDefault="00F32449" w:rsidP="00DD7B2D"/>
          <w:p w14:paraId="7927EAE4" w14:textId="3AD5D978" w:rsidR="00F32449" w:rsidRDefault="00F32449" w:rsidP="00DD7B2D">
            <w:r>
              <w:t>No AOB raised. The meeting closed at 9.30pm</w:t>
            </w:r>
          </w:p>
        </w:tc>
      </w:tr>
    </w:tbl>
    <w:p w14:paraId="393A9198" w14:textId="77777777" w:rsidR="00DD7B2D" w:rsidRDefault="00DD7B2D" w:rsidP="00D753D3">
      <w:pPr>
        <w:spacing w:after="0"/>
      </w:pPr>
    </w:p>
    <w:sectPr w:rsidR="00DD7B2D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64CAF" w14:textId="77777777" w:rsidR="001D059C" w:rsidRDefault="001D059C" w:rsidP="00E14CCB">
      <w:pPr>
        <w:spacing w:after="0" w:line="240" w:lineRule="auto"/>
      </w:pPr>
      <w:r>
        <w:separator/>
      </w:r>
    </w:p>
  </w:endnote>
  <w:endnote w:type="continuationSeparator" w:id="0">
    <w:p w14:paraId="481E8DA5" w14:textId="77777777" w:rsidR="001D059C" w:rsidRDefault="001D059C" w:rsidP="00E14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93ABE" w14:textId="77777777" w:rsidR="001D059C" w:rsidRDefault="001D059C" w:rsidP="00E14CCB">
      <w:pPr>
        <w:spacing w:after="0" w:line="240" w:lineRule="auto"/>
      </w:pPr>
      <w:r>
        <w:separator/>
      </w:r>
    </w:p>
  </w:footnote>
  <w:footnote w:type="continuationSeparator" w:id="0">
    <w:p w14:paraId="2FB18256" w14:textId="77777777" w:rsidR="001D059C" w:rsidRDefault="001D059C" w:rsidP="00E14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D312C" w14:textId="18AF1A2B" w:rsidR="00E14CCB" w:rsidRDefault="00E14CCB">
    <w:pPr>
      <w:pStyle w:val="Header"/>
    </w:pPr>
    <w:r w:rsidRPr="00BB06E3">
      <w:rPr>
        <w:noProof/>
        <w:lang w:eastAsia="en-GB"/>
      </w:rPr>
      <w:drawing>
        <wp:inline distT="0" distB="0" distL="0" distR="0" wp14:anchorId="71F68B44" wp14:editId="42A1F983">
          <wp:extent cx="1647825" cy="486647"/>
          <wp:effectExtent l="0" t="0" r="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PS_Primary_Brandmark_Dark_RB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929" cy="493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6A8D"/>
    <w:multiLevelType w:val="hybridMultilevel"/>
    <w:tmpl w:val="AA7CD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B36E5"/>
    <w:multiLevelType w:val="hybridMultilevel"/>
    <w:tmpl w:val="4538E5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DE5ED2"/>
    <w:multiLevelType w:val="hybridMultilevel"/>
    <w:tmpl w:val="8546409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DC6FF6"/>
    <w:multiLevelType w:val="hybridMultilevel"/>
    <w:tmpl w:val="6128C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9C7E1C"/>
    <w:multiLevelType w:val="hybridMultilevel"/>
    <w:tmpl w:val="866439AE"/>
    <w:lvl w:ilvl="0" w:tplc="3CCE12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D00CD"/>
    <w:multiLevelType w:val="hybridMultilevel"/>
    <w:tmpl w:val="2ABE2B44"/>
    <w:lvl w:ilvl="0" w:tplc="A3C06BC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D3AD7"/>
    <w:multiLevelType w:val="hybridMultilevel"/>
    <w:tmpl w:val="34D2E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7457A"/>
    <w:multiLevelType w:val="multilevel"/>
    <w:tmpl w:val="1C70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B93E20"/>
    <w:multiLevelType w:val="hybridMultilevel"/>
    <w:tmpl w:val="2DC43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24170"/>
    <w:multiLevelType w:val="hybridMultilevel"/>
    <w:tmpl w:val="AF50FE68"/>
    <w:lvl w:ilvl="0" w:tplc="7AF818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D270B"/>
    <w:multiLevelType w:val="hybridMultilevel"/>
    <w:tmpl w:val="248A0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A4089"/>
    <w:multiLevelType w:val="multilevel"/>
    <w:tmpl w:val="F9CE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2002ED"/>
    <w:multiLevelType w:val="hybridMultilevel"/>
    <w:tmpl w:val="C0948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50A62"/>
    <w:multiLevelType w:val="hybridMultilevel"/>
    <w:tmpl w:val="66D46810"/>
    <w:lvl w:ilvl="0" w:tplc="0360D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66C57"/>
    <w:multiLevelType w:val="hybridMultilevel"/>
    <w:tmpl w:val="059A5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450DC"/>
    <w:multiLevelType w:val="hybridMultilevel"/>
    <w:tmpl w:val="7C9E5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563C6"/>
    <w:multiLevelType w:val="hybridMultilevel"/>
    <w:tmpl w:val="E45C1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E3985"/>
    <w:multiLevelType w:val="hybridMultilevel"/>
    <w:tmpl w:val="CA6C4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C533F"/>
    <w:multiLevelType w:val="hybridMultilevel"/>
    <w:tmpl w:val="69486A06"/>
    <w:lvl w:ilvl="0" w:tplc="66065D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15BFC"/>
    <w:multiLevelType w:val="hybridMultilevel"/>
    <w:tmpl w:val="5E4AD360"/>
    <w:lvl w:ilvl="0" w:tplc="C5B09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349A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DED7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2253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B870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6CB8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967B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CA7A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1A1D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87193C"/>
    <w:multiLevelType w:val="multilevel"/>
    <w:tmpl w:val="90FA3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77C33C0"/>
    <w:multiLevelType w:val="hybridMultilevel"/>
    <w:tmpl w:val="F8D214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1A1A91"/>
    <w:multiLevelType w:val="hybridMultilevel"/>
    <w:tmpl w:val="DD48C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661CF"/>
    <w:multiLevelType w:val="hybridMultilevel"/>
    <w:tmpl w:val="B03434EE"/>
    <w:lvl w:ilvl="0" w:tplc="733EA46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DCD76D6"/>
    <w:multiLevelType w:val="hybridMultilevel"/>
    <w:tmpl w:val="95F45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F30084"/>
    <w:multiLevelType w:val="multilevel"/>
    <w:tmpl w:val="DF16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5380401">
    <w:abstractNumId w:val="12"/>
  </w:num>
  <w:num w:numId="2" w16cid:durableId="207030960">
    <w:abstractNumId w:val="15"/>
  </w:num>
  <w:num w:numId="3" w16cid:durableId="1343433788">
    <w:abstractNumId w:val="16"/>
  </w:num>
  <w:num w:numId="4" w16cid:durableId="1523982225">
    <w:abstractNumId w:val="21"/>
  </w:num>
  <w:num w:numId="5" w16cid:durableId="888109509">
    <w:abstractNumId w:val="1"/>
  </w:num>
  <w:num w:numId="6" w16cid:durableId="1379166248">
    <w:abstractNumId w:val="3"/>
  </w:num>
  <w:num w:numId="7" w16cid:durableId="477116189">
    <w:abstractNumId w:val="0"/>
  </w:num>
  <w:num w:numId="8" w16cid:durableId="61175954">
    <w:abstractNumId w:val="13"/>
  </w:num>
  <w:num w:numId="9" w16cid:durableId="571895597">
    <w:abstractNumId w:val="18"/>
  </w:num>
  <w:num w:numId="10" w16cid:durableId="16349256">
    <w:abstractNumId w:val="9"/>
  </w:num>
  <w:num w:numId="11" w16cid:durableId="1911959645">
    <w:abstractNumId w:val="2"/>
  </w:num>
  <w:num w:numId="12" w16cid:durableId="930119032">
    <w:abstractNumId w:val="23"/>
  </w:num>
  <w:num w:numId="13" w16cid:durableId="1716659920">
    <w:abstractNumId w:val="22"/>
  </w:num>
  <w:num w:numId="14" w16cid:durableId="1008796956">
    <w:abstractNumId w:val="4"/>
  </w:num>
  <w:num w:numId="15" w16cid:durableId="803356695">
    <w:abstractNumId w:val="5"/>
  </w:num>
  <w:num w:numId="16" w16cid:durableId="7954821">
    <w:abstractNumId w:val="10"/>
  </w:num>
  <w:num w:numId="17" w16cid:durableId="357048134">
    <w:abstractNumId w:val="11"/>
  </w:num>
  <w:num w:numId="18" w16cid:durableId="2113163446">
    <w:abstractNumId w:val="20"/>
  </w:num>
  <w:num w:numId="19" w16cid:durableId="1191264414">
    <w:abstractNumId w:val="7"/>
  </w:num>
  <w:num w:numId="20" w16cid:durableId="872108541">
    <w:abstractNumId w:val="25"/>
  </w:num>
  <w:num w:numId="21" w16cid:durableId="1325359416">
    <w:abstractNumId w:val="14"/>
  </w:num>
  <w:num w:numId="22" w16cid:durableId="1166095365">
    <w:abstractNumId w:val="8"/>
  </w:num>
  <w:num w:numId="23" w16cid:durableId="1971596553">
    <w:abstractNumId w:val="19"/>
  </w:num>
  <w:num w:numId="24" w16cid:durableId="1440684402">
    <w:abstractNumId w:val="17"/>
  </w:num>
  <w:num w:numId="25" w16cid:durableId="1923643776">
    <w:abstractNumId w:val="24"/>
  </w:num>
  <w:num w:numId="26" w16cid:durableId="7935267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0F1"/>
    <w:rsid w:val="00021A24"/>
    <w:rsid w:val="00024749"/>
    <w:rsid w:val="00024F7C"/>
    <w:rsid w:val="00031555"/>
    <w:rsid w:val="00041B7E"/>
    <w:rsid w:val="0004414A"/>
    <w:rsid w:val="00046FE2"/>
    <w:rsid w:val="0005713A"/>
    <w:rsid w:val="00070D06"/>
    <w:rsid w:val="00076F9A"/>
    <w:rsid w:val="00087631"/>
    <w:rsid w:val="00096DE7"/>
    <w:rsid w:val="000A0C1D"/>
    <w:rsid w:val="000A4B60"/>
    <w:rsid w:val="000B43CF"/>
    <w:rsid w:val="000C3BA1"/>
    <w:rsid w:val="000C5A09"/>
    <w:rsid w:val="000C7A2D"/>
    <w:rsid w:val="000D6BCA"/>
    <w:rsid w:val="000E0B6A"/>
    <w:rsid w:val="000E4BB0"/>
    <w:rsid w:val="00113E6A"/>
    <w:rsid w:val="00131996"/>
    <w:rsid w:val="0015099B"/>
    <w:rsid w:val="001527E0"/>
    <w:rsid w:val="001618C4"/>
    <w:rsid w:val="00176C8A"/>
    <w:rsid w:val="001864F2"/>
    <w:rsid w:val="00193459"/>
    <w:rsid w:val="001975D2"/>
    <w:rsid w:val="001A4300"/>
    <w:rsid w:val="001B36C0"/>
    <w:rsid w:val="001D059C"/>
    <w:rsid w:val="001E2004"/>
    <w:rsid w:val="001E764A"/>
    <w:rsid w:val="00203D6B"/>
    <w:rsid w:val="00206511"/>
    <w:rsid w:val="002153F3"/>
    <w:rsid w:val="002309F5"/>
    <w:rsid w:val="002374E0"/>
    <w:rsid w:val="002454E3"/>
    <w:rsid w:val="00246364"/>
    <w:rsid w:val="00246A47"/>
    <w:rsid w:val="00246B57"/>
    <w:rsid w:val="00262DBA"/>
    <w:rsid w:val="0026426F"/>
    <w:rsid w:val="00266D97"/>
    <w:rsid w:val="00267351"/>
    <w:rsid w:val="00296ACA"/>
    <w:rsid w:val="002A4101"/>
    <w:rsid w:val="002B7F1E"/>
    <w:rsid w:val="002D1B7D"/>
    <w:rsid w:val="002E79F3"/>
    <w:rsid w:val="00314536"/>
    <w:rsid w:val="00317CF0"/>
    <w:rsid w:val="0032735D"/>
    <w:rsid w:val="00327390"/>
    <w:rsid w:val="00327C7D"/>
    <w:rsid w:val="003343B0"/>
    <w:rsid w:val="00335746"/>
    <w:rsid w:val="00337EF2"/>
    <w:rsid w:val="00340B75"/>
    <w:rsid w:val="00340F20"/>
    <w:rsid w:val="00346E9A"/>
    <w:rsid w:val="00350DFD"/>
    <w:rsid w:val="00372787"/>
    <w:rsid w:val="00372DFA"/>
    <w:rsid w:val="00384591"/>
    <w:rsid w:val="0039114F"/>
    <w:rsid w:val="003B565C"/>
    <w:rsid w:val="003C0113"/>
    <w:rsid w:val="003C0B19"/>
    <w:rsid w:val="003D2558"/>
    <w:rsid w:val="003D5513"/>
    <w:rsid w:val="003E37F4"/>
    <w:rsid w:val="00406F24"/>
    <w:rsid w:val="0041014A"/>
    <w:rsid w:val="004130F1"/>
    <w:rsid w:val="004152D5"/>
    <w:rsid w:val="00416B8E"/>
    <w:rsid w:val="004237B3"/>
    <w:rsid w:val="00425828"/>
    <w:rsid w:val="004268F5"/>
    <w:rsid w:val="004374D1"/>
    <w:rsid w:val="0044432F"/>
    <w:rsid w:val="004448D6"/>
    <w:rsid w:val="00450CA6"/>
    <w:rsid w:val="004524EF"/>
    <w:rsid w:val="0045353B"/>
    <w:rsid w:val="004540E4"/>
    <w:rsid w:val="004549B4"/>
    <w:rsid w:val="00461ECB"/>
    <w:rsid w:val="004712F0"/>
    <w:rsid w:val="00476089"/>
    <w:rsid w:val="004A4074"/>
    <w:rsid w:val="004A76F5"/>
    <w:rsid w:val="004C40D1"/>
    <w:rsid w:val="004C4897"/>
    <w:rsid w:val="004D503E"/>
    <w:rsid w:val="004E3778"/>
    <w:rsid w:val="004F6BD6"/>
    <w:rsid w:val="005003F6"/>
    <w:rsid w:val="0050304F"/>
    <w:rsid w:val="00505B33"/>
    <w:rsid w:val="0051027F"/>
    <w:rsid w:val="0051127D"/>
    <w:rsid w:val="00520017"/>
    <w:rsid w:val="00527719"/>
    <w:rsid w:val="00530FA9"/>
    <w:rsid w:val="005423F1"/>
    <w:rsid w:val="00552F44"/>
    <w:rsid w:val="00556F7E"/>
    <w:rsid w:val="0055738B"/>
    <w:rsid w:val="0056385B"/>
    <w:rsid w:val="0057039E"/>
    <w:rsid w:val="005845A1"/>
    <w:rsid w:val="00591068"/>
    <w:rsid w:val="005B586C"/>
    <w:rsid w:val="005B76EA"/>
    <w:rsid w:val="005C3A23"/>
    <w:rsid w:val="005E3EA7"/>
    <w:rsid w:val="005E77DC"/>
    <w:rsid w:val="005E7BEC"/>
    <w:rsid w:val="005F0FE2"/>
    <w:rsid w:val="005F7189"/>
    <w:rsid w:val="0060201B"/>
    <w:rsid w:val="006255E1"/>
    <w:rsid w:val="00634AB0"/>
    <w:rsid w:val="00655078"/>
    <w:rsid w:val="00684F9E"/>
    <w:rsid w:val="0069063B"/>
    <w:rsid w:val="00691336"/>
    <w:rsid w:val="00692FEC"/>
    <w:rsid w:val="00695DCB"/>
    <w:rsid w:val="006A5670"/>
    <w:rsid w:val="006B0646"/>
    <w:rsid w:val="006C726C"/>
    <w:rsid w:val="006C7D41"/>
    <w:rsid w:val="006D0ABB"/>
    <w:rsid w:val="006E51CE"/>
    <w:rsid w:val="006E566B"/>
    <w:rsid w:val="006F2D7B"/>
    <w:rsid w:val="006F4788"/>
    <w:rsid w:val="00703EAA"/>
    <w:rsid w:val="007105CB"/>
    <w:rsid w:val="00716B8E"/>
    <w:rsid w:val="00720920"/>
    <w:rsid w:val="0072482C"/>
    <w:rsid w:val="007307E1"/>
    <w:rsid w:val="007337F1"/>
    <w:rsid w:val="00737D3D"/>
    <w:rsid w:val="00744E3F"/>
    <w:rsid w:val="00755D6A"/>
    <w:rsid w:val="007574CE"/>
    <w:rsid w:val="00764B07"/>
    <w:rsid w:val="00765003"/>
    <w:rsid w:val="0077311F"/>
    <w:rsid w:val="00773DEF"/>
    <w:rsid w:val="00776282"/>
    <w:rsid w:val="00783A0E"/>
    <w:rsid w:val="007913BF"/>
    <w:rsid w:val="00793075"/>
    <w:rsid w:val="00794790"/>
    <w:rsid w:val="007B312E"/>
    <w:rsid w:val="007C0870"/>
    <w:rsid w:val="007C35CF"/>
    <w:rsid w:val="007E1598"/>
    <w:rsid w:val="007E3B64"/>
    <w:rsid w:val="007E5BEC"/>
    <w:rsid w:val="007E696E"/>
    <w:rsid w:val="007E7E72"/>
    <w:rsid w:val="007F3432"/>
    <w:rsid w:val="007F69C7"/>
    <w:rsid w:val="00803EBE"/>
    <w:rsid w:val="00813BB7"/>
    <w:rsid w:val="008333F8"/>
    <w:rsid w:val="00833407"/>
    <w:rsid w:val="00836EE8"/>
    <w:rsid w:val="00844452"/>
    <w:rsid w:val="0085262A"/>
    <w:rsid w:val="00852BE8"/>
    <w:rsid w:val="00856CD0"/>
    <w:rsid w:val="00864D37"/>
    <w:rsid w:val="00873222"/>
    <w:rsid w:val="00873290"/>
    <w:rsid w:val="008749C4"/>
    <w:rsid w:val="0088199B"/>
    <w:rsid w:val="00882FCD"/>
    <w:rsid w:val="008927DB"/>
    <w:rsid w:val="008A09AD"/>
    <w:rsid w:val="008B3EF2"/>
    <w:rsid w:val="008C5ED9"/>
    <w:rsid w:val="008E389E"/>
    <w:rsid w:val="00900EE5"/>
    <w:rsid w:val="00907617"/>
    <w:rsid w:val="0091116D"/>
    <w:rsid w:val="0091423A"/>
    <w:rsid w:val="0093351D"/>
    <w:rsid w:val="009644BF"/>
    <w:rsid w:val="0096798E"/>
    <w:rsid w:val="00975A5D"/>
    <w:rsid w:val="00990A5F"/>
    <w:rsid w:val="009A7AAB"/>
    <w:rsid w:val="009B0B9D"/>
    <w:rsid w:val="009B11FA"/>
    <w:rsid w:val="009C47DB"/>
    <w:rsid w:val="009E1DF7"/>
    <w:rsid w:val="00A21384"/>
    <w:rsid w:val="00A2207F"/>
    <w:rsid w:val="00A60E8E"/>
    <w:rsid w:val="00A629F3"/>
    <w:rsid w:val="00A75C94"/>
    <w:rsid w:val="00A7778E"/>
    <w:rsid w:val="00A94A2E"/>
    <w:rsid w:val="00AB2248"/>
    <w:rsid w:val="00AB2987"/>
    <w:rsid w:val="00AC0548"/>
    <w:rsid w:val="00AC1F15"/>
    <w:rsid w:val="00AC5F3B"/>
    <w:rsid w:val="00AC7955"/>
    <w:rsid w:val="00AD1763"/>
    <w:rsid w:val="00AD17D0"/>
    <w:rsid w:val="00AE677B"/>
    <w:rsid w:val="00AF3A39"/>
    <w:rsid w:val="00B01DCF"/>
    <w:rsid w:val="00B15545"/>
    <w:rsid w:val="00B15B95"/>
    <w:rsid w:val="00B27D84"/>
    <w:rsid w:val="00B33216"/>
    <w:rsid w:val="00B34421"/>
    <w:rsid w:val="00B37F63"/>
    <w:rsid w:val="00B4093D"/>
    <w:rsid w:val="00B41BE6"/>
    <w:rsid w:val="00B44BEF"/>
    <w:rsid w:val="00B51E9C"/>
    <w:rsid w:val="00B52948"/>
    <w:rsid w:val="00B54907"/>
    <w:rsid w:val="00B653A2"/>
    <w:rsid w:val="00B67A48"/>
    <w:rsid w:val="00B71420"/>
    <w:rsid w:val="00B71D0D"/>
    <w:rsid w:val="00B746EA"/>
    <w:rsid w:val="00B857D5"/>
    <w:rsid w:val="00B85BEE"/>
    <w:rsid w:val="00B86515"/>
    <w:rsid w:val="00B95E6F"/>
    <w:rsid w:val="00BB2988"/>
    <w:rsid w:val="00BC272F"/>
    <w:rsid w:val="00BC5A69"/>
    <w:rsid w:val="00BD0AD6"/>
    <w:rsid w:val="00BD0B94"/>
    <w:rsid w:val="00BD11BC"/>
    <w:rsid w:val="00BD2248"/>
    <w:rsid w:val="00BE2E88"/>
    <w:rsid w:val="00BE5822"/>
    <w:rsid w:val="00BF3CAE"/>
    <w:rsid w:val="00BF5B3B"/>
    <w:rsid w:val="00C0229B"/>
    <w:rsid w:val="00C03D08"/>
    <w:rsid w:val="00C2084A"/>
    <w:rsid w:val="00C2595E"/>
    <w:rsid w:val="00C35C46"/>
    <w:rsid w:val="00C40AA0"/>
    <w:rsid w:val="00C56277"/>
    <w:rsid w:val="00C5682A"/>
    <w:rsid w:val="00C607EE"/>
    <w:rsid w:val="00C75629"/>
    <w:rsid w:val="00C77D73"/>
    <w:rsid w:val="00C834C9"/>
    <w:rsid w:val="00C90D6E"/>
    <w:rsid w:val="00C9234F"/>
    <w:rsid w:val="00C93164"/>
    <w:rsid w:val="00C96523"/>
    <w:rsid w:val="00CA0CBC"/>
    <w:rsid w:val="00CA0CD2"/>
    <w:rsid w:val="00CA4263"/>
    <w:rsid w:val="00CA621E"/>
    <w:rsid w:val="00CB0623"/>
    <w:rsid w:val="00CB4008"/>
    <w:rsid w:val="00CB68B7"/>
    <w:rsid w:val="00CE0156"/>
    <w:rsid w:val="00CE1007"/>
    <w:rsid w:val="00CF0B7F"/>
    <w:rsid w:val="00CF192F"/>
    <w:rsid w:val="00CF2522"/>
    <w:rsid w:val="00CF490F"/>
    <w:rsid w:val="00D12E6B"/>
    <w:rsid w:val="00D132B8"/>
    <w:rsid w:val="00D14202"/>
    <w:rsid w:val="00D174E5"/>
    <w:rsid w:val="00D43CB3"/>
    <w:rsid w:val="00D454EF"/>
    <w:rsid w:val="00D560DC"/>
    <w:rsid w:val="00D6238D"/>
    <w:rsid w:val="00D753D3"/>
    <w:rsid w:val="00D949D6"/>
    <w:rsid w:val="00DA48C2"/>
    <w:rsid w:val="00DA4F1C"/>
    <w:rsid w:val="00DB05F0"/>
    <w:rsid w:val="00DB2E68"/>
    <w:rsid w:val="00DC20FA"/>
    <w:rsid w:val="00DC3BAA"/>
    <w:rsid w:val="00DD0704"/>
    <w:rsid w:val="00DD7B2D"/>
    <w:rsid w:val="00DE25CA"/>
    <w:rsid w:val="00DE4A67"/>
    <w:rsid w:val="00E049D5"/>
    <w:rsid w:val="00E14CCB"/>
    <w:rsid w:val="00E22779"/>
    <w:rsid w:val="00E33D09"/>
    <w:rsid w:val="00E35119"/>
    <w:rsid w:val="00E60376"/>
    <w:rsid w:val="00E84C58"/>
    <w:rsid w:val="00E90189"/>
    <w:rsid w:val="00E963C8"/>
    <w:rsid w:val="00EA01DF"/>
    <w:rsid w:val="00EB3A46"/>
    <w:rsid w:val="00EC55EE"/>
    <w:rsid w:val="00ED2B68"/>
    <w:rsid w:val="00ED4E05"/>
    <w:rsid w:val="00ED7E0A"/>
    <w:rsid w:val="00EF169A"/>
    <w:rsid w:val="00F13470"/>
    <w:rsid w:val="00F27759"/>
    <w:rsid w:val="00F32449"/>
    <w:rsid w:val="00F41A50"/>
    <w:rsid w:val="00F41DFD"/>
    <w:rsid w:val="00F57CA6"/>
    <w:rsid w:val="00F600A6"/>
    <w:rsid w:val="00F6198B"/>
    <w:rsid w:val="00F63C83"/>
    <w:rsid w:val="00F73D0B"/>
    <w:rsid w:val="00F7688E"/>
    <w:rsid w:val="00F76B78"/>
    <w:rsid w:val="00FA1BA1"/>
    <w:rsid w:val="00FA408B"/>
    <w:rsid w:val="00FB2205"/>
    <w:rsid w:val="00FB49FA"/>
    <w:rsid w:val="00FC780E"/>
    <w:rsid w:val="00FD4FBA"/>
    <w:rsid w:val="00FE4C3F"/>
    <w:rsid w:val="00FE7249"/>
    <w:rsid w:val="00FE789D"/>
    <w:rsid w:val="00FF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EBE26"/>
  <w15:chartTrackingRefBased/>
  <w15:docId w15:val="{F9B88551-0773-44E6-9E77-63BC30B8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32F"/>
  </w:style>
  <w:style w:type="paragraph" w:styleId="Heading1">
    <w:name w:val="heading 1"/>
    <w:basedOn w:val="Normal"/>
    <w:next w:val="Normal"/>
    <w:link w:val="Heading1Char"/>
    <w:uiPriority w:val="9"/>
    <w:qFormat/>
    <w:rsid w:val="004130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30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3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130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13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130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4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CCB"/>
  </w:style>
  <w:style w:type="paragraph" w:styleId="Footer">
    <w:name w:val="footer"/>
    <w:basedOn w:val="Normal"/>
    <w:link w:val="FooterChar"/>
    <w:uiPriority w:val="99"/>
    <w:unhideWhenUsed/>
    <w:rsid w:val="00E14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CCB"/>
  </w:style>
  <w:style w:type="paragraph" w:styleId="BalloonText">
    <w:name w:val="Balloon Text"/>
    <w:basedOn w:val="Normal"/>
    <w:link w:val="BalloonTextChar"/>
    <w:uiPriority w:val="99"/>
    <w:semiHidden/>
    <w:unhideWhenUsed/>
    <w:rsid w:val="00DA4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8C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277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775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C48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48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48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8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89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E789D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CA621E"/>
    <w:pPr>
      <w:spacing w:after="0" w:line="240" w:lineRule="auto"/>
    </w:pPr>
    <w:rPr>
      <w:rFonts w:ascii="Arial" w:hAnsi="Arial" w:cs="Consolas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621E"/>
    <w:rPr>
      <w:rFonts w:ascii="Arial" w:hAnsi="Arial" w:cs="Consolas"/>
      <w:sz w:val="20"/>
      <w:szCs w:val="21"/>
    </w:rPr>
  </w:style>
  <w:style w:type="paragraph" w:customStyle="1" w:styleId="Default">
    <w:name w:val="Default"/>
    <w:rsid w:val="009111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E79F3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75A5D"/>
    <w:rPr>
      <w:color w:val="954F72" w:themeColor="followedHyperlink"/>
      <w:u w:val="single"/>
    </w:rPr>
  </w:style>
  <w:style w:type="paragraph" w:customStyle="1" w:styleId="xxmsonormal">
    <w:name w:val="x_xmsonormal"/>
    <w:basedOn w:val="Normal"/>
    <w:rsid w:val="005E7BEC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xxxxmsonormal">
    <w:name w:val="x_x_x_x_x_msonormal"/>
    <w:basedOn w:val="Normal"/>
    <w:rsid w:val="00A7778E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normal">
    <w:name w:val="x_msonormal"/>
    <w:basedOn w:val="Normal"/>
    <w:rsid w:val="00B4093D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3675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harms.zoom.us/j/98373902519?pwd=azlQN1ljMWhhNmtYS0RsWitmenZ6UT0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oom.us/signu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gbr01.safelinks.protection.outlook.com/?url=https%3A%2F%2Fwww.gov.uk%2Fgovernment%2Fpublications%2Fnational-overprescribing-review-report&amp;data=05%7C02%7CAlwyn.Fortune%40rpharms.com%7C0f5ce9b8795f4f54a9fb08dc6ab5d57c%7C99193c61658d4076952f07c345a3be97%7C0%7C0%7C638502577843417022%7CUnknown%7CTWFpbGZsb3d8eyJWIjoiMC4wLjAwMDAiLCJQIjoiV2luMzIiLCJBTiI6Ik1haWwiLCJXVCI6Mn0%3D%7C0%7C%7C%7C&amp;sdata=Uj1oX4yT2qsxASFsVm2lMVX69SIOziwNqvpEyc%2BiIL0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pharms.com/about-us/news/details/new-rps-updated-patient-safety-professional-standard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Morrison</dc:creator>
  <cp:keywords/>
  <dc:description/>
  <cp:lastModifiedBy>Alwyn Fortune</cp:lastModifiedBy>
  <cp:revision>2</cp:revision>
  <cp:lastPrinted>2022-11-21T14:51:00Z</cp:lastPrinted>
  <dcterms:created xsi:type="dcterms:W3CDTF">2024-05-24T08:55:00Z</dcterms:created>
  <dcterms:modified xsi:type="dcterms:W3CDTF">2024-05-24T08:55:00Z</dcterms:modified>
</cp:coreProperties>
</file>