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232A" w14:textId="0227DDCA" w:rsidR="004130F1" w:rsidRDefault="002B1861" w:rsidP="002B1861">
      <w:pPr>
        <w:pStyle w:val="Heading1"/>
        <w:rPr>
          <w:b/>
          <w:bCs/>
        </w:rPr>
      </w:pPr>
      <w:r>
        <w:rPr>
          <w:b/>
          <w:bCs/>
        </w:rPr>
        <w:t xml:space="preserve">Antimicrobial </w:t>
      </w:r>
      <w:r w:rsidR="004130F1">
        <w:rPr>
          <w:b/>
          <w:bCs/>
        </w:rPr>
        <w:t>Expert Advisory Group meeti</w:t>
      </w:r>
      <w:r>
        <w:rPr>
          <w:b/>
          <w:bCs/>
        </w:rPr>
        <w:t>ng</w:t>
      </w:r>
      <w:r w:rsidR="00574D06">
        <w:rPr>
          <w:b/>
          <w:bCs/>
        </w:rPr>
        <w:t xml:space="preserve"> report</w:t>
      </w:r>
    </w:p>
    <w:p w14:paraId="25722A9F" w14:textId="4CFDF5C8" w:rsidR="002B1861" w:rsidRDefault="002B1861" w:rsidP="002B1861">
      <w:r>
        <w:t>Thursday 5</w:t>
      </w:r>
      <w:r w:rsidRPr="002B1861">
        <w:rPr>
          <w:vertAlign w:val="superscript"/>
        </w:rPr>
        <w:t>th</w:t>
      </w:r>
      <w:r>
        <w:t xml:space="preserve"> </w:t>
      </w:r>
      <w:proofErr w:type="gramStart"/>
      <w:r>
        <w:t>June</w:t>
      </w:r>
      <w:r w:rsidR="002E5099">
        <w:t>,</w:t>
      </w:r>
      <w:proofErr w:type="gramEnd"/>
      <w:r w:rsidR="002E5099">
        <w:t xml:space="preserve"> 1.30pm – 3.30pm</w:t>
      </w:r>
    </w:p>
    <w:p w14:paraId="57E7D1F6" w14:textId="0D4A21CC" w:rsidR="002B1861" w:rsidRDefault="61B41039" w:rsidP="002B1861">
      <w:r>
        <w:t>Meeting held via MS Teams</w:t>
      </w:r>
    </w:p>
    <w:p w14:paraId="7707B2D6" w14:textId="0C150DA3" w:rsidR="61B41039" w:rsidRPr="00643458" w:rsidRDefault="61B41039">
      <w:pPr>
        <w:rPr>
          <w:b/>
          <w:bCs/>
        </w:rPr>
      </w:pPr>
      <w:r w:rsidRPr="00643458">
        <w:rPr>
          <w:b/>
          <w:bCs/>
        </w:rPr>
        <w:t>Attendees</w:t>
      </w:r>
    </w:p>
    <w:p w14:paraId="543C463D" w14:textId="61002969" w:rsidR="00643458" w:rsidRDefault="00643458">
      <w:r>
        <w:t>Louise Dunsmure, Marisa Lanzman, Delyth Ahearne, Nirlep Agravedi, Avril Tucker, Rachel Berry, Blessing Ukoha-Kalu, Preety Ramdut, Conor Jamieson, Lisa Boateng</w:t>
      </w:r>
    </w:p>
    <w:p w14:paraId="140A32EF" w14:textId="0312D2E6" w:rsidR="00643458" w:rsidRDefault="00643458">
      <w:r>
        <w:t>Diane Ashiru-Oredope, Jegak Seo, Rebecca Braybrooks</w:t>
      </w:r>
    </w:p>
    <w:p w14:paraId="68D157E4" w14:textId="743BA499" w:rsidR="61B41039" w:rsidRPr="00643458" w:rsidRDefault="61B41039">
      <w:pPr>
        <w:rPr>
          <w:b/>
          <w:bCs/>
        </w:rPr>
      </w:pPr>
      <w:r w:rsidRPr="00643458">
        <w:rPr>
          <w:b/>
          <w:bCs/>
        </w:rPr>
        <w:t>Apologies</w:t>
      </w:r>
    </w:p>
    <w:p w14:paraId="3FF694C0" w14:textId="0D749CB3" w:rsidR="00643458" w:rsidRDefault="00643458">
      <w:r>
        <w:t>Rakhi Aggarwal, Aaron Brady, Fran Garraghan, Mark Gilchrist, Zoe Kennerley, Rakhee Patel</w:t>
      </w:r>
    </w:p>
    <w:p w14:paraId="326EC822" w14:textId="4EC0C1DD" w:rsidR="61B41039" w:rsidRDefault="61B41039"/>
    <w:p w14:paraId="671EF214" w14:textId="6D539C98"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1: </w:t>
      </w:r>
      <w:r w:rsidR="004130F1" w:rsidRPr="004130F1">
        <w:rPr>
          <w:b/>
          <w:bCs/>
          <w:color w:val="000000" w:themeColor="text1"/>
        </w:rPr>
        <w:t>Recognition</w:t>
      </w:r>
    </w:p>
    <w:p w14:paraId="7406B1AE" w14:textId="6540C183" w:rsidR="004130F1" w:rsidRDefault="004130F1" w:rsidP="004130F1">
      <w:pPr>
        <w:spacing w:after="0"/>
      </w:pPr>
    </w:p>
    <w:tbl>
      <w:tblPr>
        <w:tblStyle w:val="TableGrid"/>
        <w:tblW w:w="9016" w:type="dxa"/>
        <w:tblLook w:val="04A0" w:firstRow="1" w:lastRow="0" w:firstColumn="1" w:lastColumn="0" w:noHBand="0" w:noVBand="1"/>
      </w:tblPr>
      <w:tblGrid>
        <w:gridCol w:w="1425"/>
        <w:gridCol w:w="4666"/>
        <w:gridCol w:w="2925"/>
      </w:tblGrid>
      <w:tr w:rsidR="00C90D6E" w14:paraId="3900267A" w14:textId="77777777" w:rsidTr="61B41039">
        <w:trPr>
          <w:trHeight w:val="265"/>
        </w:trPr>
        <w:tc>
          <w:tcPr>
            <w:tcW w:w="1425" w:type="dxa"/>
            <w:shd w:val="clear" w:color="auto" w:fill="DEEAF6" w:themeFill="accent5" w:themeFillTint="33"/>
          </w:tcPr>
          <w:p w14:paraId="1AF2A6EA" w14:textId="77777777" w:rsidR="00C90D6E" w:rsidRPr="00C90D6E" w:rsidRDefault="00C90D6E" w:rsidP="00487FE2">
            <w:pPr>
              <w:rPr>
                <w:b/>
                <w:bCs/>
              </w:rPr>
            </w:pPr>
            <w:r w:rsidRPr="00C90D6E">
              <w:rPr>
                <w:b/>
                <w:bCs/>
              </w:rPr>
              <w:t>Title</w:t>
            </w:r>
          </w:p>
        </w:tc>
        <w:tc>
          <w:tcPr>
            <w:tcW w:w="4666" w:type="dxa"/>
            <w:shd w:val="clear" w:color="auto" w:fill="DEEAF6" w:themeFill="accent5" w:themeFillTint="33"/>
          </w:tcPr>
          <w:p w14:paraId="18E90996" w14:textId="29722D06" w:rsidR="00C90D6E" w:rsidRPr="00C90D6E" w:rsidRDefault="002B1861" w:rsidP="00487FE2">
            <w:pPr>
              <w:rPr>
                <w:b/>
                <w:bCs/>
              </w:rPr>
            </w:pPr>
            <w:r>
              <w:rPr>
                <w:b/>
                <w:bCs/>
              </w:rPr>
              <w:t>Welcome</w:t>
            </w:r>
          </w:p>
        </w:tc>
        <w:tc>
          <w:tcPr>
            <w:tcW w:w="2925" w:type="dxa"/>
            <w:shd w:val="clear" w:color="auto" w:fill="DEEAF6" w:themeFill="accent5" w:themeFillTint="33"/>
          </w:tcPr>
          <w:p w14:paraId="69FA0E36" w14:textId="254645AE" w:rsidR="00C90D6E" w:rsidRPr="00C90D6E" w:rsidRDefault="00C90D6E" w:rsidP="00487FE2">
            <w:pPr>
              <w:rPr>
                <w:b/>
                <w:bCs/>
              </w:rPr>
            </w:pPr>
            <w:r>
              <w:rPr>
                <w:b/>
                <w:bCs/>
              </w:rPr>
              <w:t>Time of item</w:t>
            </w:r>
            <w:r w:rsidR="002E5099">
              <w:rPr>
                <w:b/>
                <w:bCs/>
              </w:rPr>
              <w:t xml:space="preserve"> 1:30pm</w:t>
            </w:r>
          </w:p>
        </w:tc>
      </w:tr>
      <w:tr w:rsidR="0004414A" w14:paraId="6FD97CD4" w14:textId="77777777" w:rsidTr="61B41039">
        <w:trPr>
          <w:trHeight w:val="916"/>
        </w:trPr>
        <w:tc>
          <w:tcPr>
            <w:tcW w:w="1425" w:type="dxa"/>
          </w:tcPr>
          <w:p w14:paraId="55D0EFA2" w14:textId="77777777" w:rsidR="0004414A" w:rsidRPr="00C90D6E" w:rsidRDefault="0004414A" w:rsidP="00487FE2">
            <w:pPr>
              <w:rPr>
                <w:b/>
                <w:bCs/>
              </w:rPr>
            </w:pPr>
            <w:r w:rsidRPr="00C90D6E">
              <w:rPr>
                <w:b/>
                <w:bCs/>
              </w:rPr>
              <w:t>Description</w:t>
            </w:r>
          </w:p>
        </w:tc>
        <w:tc>
          <w:tcPr>
            <w:tcW w:w="7591" w:type="dxa"/>
            <w:gridSpan w:val="2"/>
          </w:tcPr>
          <w:p w14:paraId="7A9A88C7" w14:textId="20A6A70C" w:rsidR="002E5099" w:rsidRDefault="4D280B79" w:rsidP="002E5099">
            <w:r>
              <w:t>Welcome and apologies</w:t>
            </w:r>
          </w:p>
          <w:p w14:paraId="1230DB16" w14:textId="48A4B313" w:rsidR="002B1861" w:rsidRDefault="4D280B79" w:rsidP="002E5099">
            <w:r>
              <w:t>Introductions and areas of speciality from all members attending</w:t>
            </w:r>
          </w:p>
          <w:p w14:paraId="4B860779" w14:textId="53153F39" w:rsidR="002B1861" w:rsidRDefault="002B1861" w:rsidP="002E5099"/>
        </w:tc>
      </w:tr>
      <w:tr w:rsidR="0004414A" w14:paraId="6A3D727C" w14:textId="77777777" w:rsidTr="61B41039">
        <w:trPr>
          <w:trHeight w:val="568"/>
        </w:trPr>
        <w:tc>
          <w:tcPr>
            <w:tcW w:w="1425" w:type="dxa"/>
          </w:tcPr>
          <w:p w14:paraId="0596C2FC" w14:textId="77777777" w:rsidR="0004414A" w:rsidRPr="00C90D6E" w:rsidRDefault="0004414A" w:rsidP="00487FE2">
            <w:pPr>
              <w:rPr>
                <w:b/>
                <w:bCs/>
              </w:rPr>
            </w:pPr>
            <w:r w:rsidRPr="00C90D6E">
              <w:rPr>
                <w:b/>
                <w:bCs/>
              </w:rPr>
              <w:t>Purpose</w:t>
            </w:r>
          </w:p>
        </w:tc>
        <w:tc>
          <w:tcPr>
            <w:tcW w:w="7591" w:type="dxa"/>
            <w:gridSpan w:val="2"/>
          </w:tcPr>
          <w:p w14:paraId="03C2FBAB" w14:textId="5001F0DA" w:rsidR="0004414A" w:rsidRDefault="0004414A" w:rsidP="00487FE2">
            <w:r>
              <w:t xml:space="preserve">To </w:t>
            </w:r>
            <w:r w:rsidR="002B1861">
              <w:t xml:space="preserve">introduce EAG and start </w:t>
            </w:r>
            <w:proofErr w:type="gramStart"/>
            <w:r w:rsidR="002B1861">
              <w:t>planning for the future</w:t>
            </w:r>
            <w:proofErr w:type="gramEnd"/>
          </w:p>
        </w:tc>
      </w:tr>
      <w:tr w:rsidR="0004414A" w:rsidRPr="00643458" w14:paraId="026BF4FF" w14:textId="77777777" w:rsidTr="61B41039">
        <w:trPr>
          <w:trHeight w:val="973"/>
        </w:trPr>
        <w:tc>
          <w:tcPr>
            <w:tcW w:w="1425" w:type="dxa"/>
          </w:tcPr>
          <w:p w14:paraId="525DF50F" w14:textId="2693EA97" w:rsidR="0004414A" w:rsidRPr="00643458" w:rsidRDefault="00990A5F" w:rsidP="00487FE2">
            <w:pPr>
              <w:rPr>
                <w:b/>
                <w:bCs/>
              </w:rPr>
            </w:pPr>
            <w:r w:rsidRPr="00643458">
              <w:rPr>
                <w:b/>
                <w:bCs/>
              </w:rPr>
              <w:t>Outcome</w:t>
            </w:r>
            <w:r w:rsidR="0004414A" w:rsidRPr="00643458">
              <w:rPr>
                <w:b/>
                <w:bCs/>
              </w:rPr>
              <w:t>s</w:t>
            </w:r>
          </w:p>
        </w:tc>
        <w:tc>
          <w:tcPr>
            <w:tcW w:w="7591" w:type="dxa"/>
            <w:gridSpan w:val="2"/>
          </w:tcPr>
          <w:p w14:paraId="2A4D086A" w14:textId="4AAFCFEE" w:rsidR="0004414A" w:rsidRPr="00643458" w:rsidRDefault="6CB050FD" w:rsidP="6CB050FD">
            <w:r w:rsidRPr="00643458">
              <w:t>DAO welcomed everyone and introduced herself and RPS staff. Welcomed the new Chair and members of the group.</w:t>
            </w:r>
          </w:p>
          <w:p w14:paraId="59E20AE2" w14:textId="658FA469" w:rsidR="6CB050FD" w:rsidRPr="00643458" w:rsidRDefault="6CB050FD" w:rsidP="6CB050FD"/>
          <w:p w14:paraId="33DDC07A" w14:textId="3517FFA9" w:rsidR="0004414A" w:rsidRPr="00643458" w:rsidRDefault="61B41039" w:rsidP="61B41039">
            <w:r w:rsidRPr="00643458">
              <w:t xml:space="preserve">Each member gave a brief introduction of where they work and their speciality. Request to </w:t>
            </w:r>
            <w:r w:rsidR="00102A67" w:rsidRPr="00643458">
              <w:t>make sure</w:t>
            </w:r>
            <w:r w:rsidRPr="00643458">
              <w:t xml:space="preserve"> these</w:t>
            </w:r>
            <w:r w:rsidR="00102A67" w:rsidRPr="00643458">
              <w:t xml:space="preserve"> are part of</w:t>
            </w:r>
            <w:r w:rsidRPr="00643458">
              <w:t xml:space="preserve"> your bios for the website. This is </w:t>
            </w:r>
            <w:proofErr w:type="gramStart"/>
            <w:r w:rsidRPr="00643458">
              <w:t>really useful</w:t>
            </w:r>
            <w:proofErr w:type="gramEnd"/>
            <w:r w:rsidRPr="00643458">
              <w:t xml:space="preserve"> information.</w:t>
            </w:r>
          </w:p>
          <w:p w14:paraId="6FE10185" w14:textId="3C4D86F0" w:rsidR="0004414A" w:rsidRPr="00643458" w:rsidRDefault="0004414A" w:rsidP="47FBD652"/>
          <w:p w14:paraId="44A91F74" w14:textId="3A52BF23" w:rsidR="6CB050FD" w:rsidRPr="00643458" w:rsidRDefault="6CB050FD" w:rsidP="6CB050FD">
            <w:r w:rsidRPr="00643458">
              <w:t>Biographies, pictures and worker agreements were requested from everyone. Please do share these so we can update the website with all new information.</w:t>
            </w:r>
          </w:p>
          <w:p w14:paraId="742D06D9" w14:textId="27DAAA1E" w:rsidR="0004414A" w:rsidRPr="00643458" w:rsidRDefault="0004414A" w:rsidP="47FBD652"/>
          <w:p w14:paraId="54E2DECE" w14:textId="611AEA36" w:rsidR="0004414A" w:rsidRPr="00643458" w:rsidRDefault="6CB050FD" w:rsidP="6CB050FD">
            <w:r w:rsidRPr="00643458">
              <w:t xml:space="preserve">The group </w:t>
            </w:r>
            <w:proofErr w:type="gramStart"/>
            <w:r w:rsidRPr="00643458">
              <w:t>is able to</w:t>
            </w:r>
            <w:proofErr w:type="gramEnd"/>
            <w:r w:rsidRPr="00643458">
              <w:t xml:space="preserve"> co-opt members to help complete projects if required. </w:t>
            </w:r>
          </w:p>
          <w:p w14:paraId="7ECE2B45" w14:textId="10F999E0" w:rsidR="0004414A" w:rsidRPr="00643458" w:rsidRDefault="0004414A" w:rsidP="47FBD652"/>
          <w:p w14:paraId="2DBDC8F5" w14:textId="5288FB16" w:rsidR="0004414A" w:rsidRPr="00643458" w:rsidRDefault="00337FD8" w:rsidP="61B41039">
            <w:r w:rsidRPr="00643458">
              <w:t>AmEAG</w:t>
            </w:r>
            <w:r w:rsidR="61B41039" w:rsidRPr="00643458">
              <w:t xml:space="preserve"> will highlight AMS to national Boards and feed through into</w:t>
            </w:r>
            <w:r w:rsidR="0028071E" w:rsidRPr="00643458">
              <w:t xml:space="preserve"> the</w:t>
            </w:r>
            <w:r w:rsidR="61B41039" w:rsidRPr="00643458">
              <w:t xml:space="preserve"> Science &amp; Research Committee </w:t>
            </w:r>
            <w:r w:rsidR="0028071E" w:rsidRPr="00643458">
              <w:t>(SRC)</w:t>
            </w:r>
            <w:r w:rsidR="00872852" w:rsidRPr="00643458">
              <w:t xml:space="preserve"> as and when this is required or </w:t>
            </w:r>
            <w:r w:rsidRPr="00643458">
              <w:t>requested.</w:t>
            </w:r>
          </w:p>
          <w:p w14:paraId="199FDEC9" w14:textId="30333C18" w:rsidR="0004414A" w:rsidRPr="00643458" w:rsidRDefault="0004414A" w:rsidP="61B41039"/>
          <w:p w14:paraId="3B68366B" w14:textId="2A799F60" w:rsidR="0004414A" w:rsidRPr="00643458" w:rsidRDefault="61B41039" w:rsidP="61B41039">
            <w:r w:rsidRPr="00643458">
              <w:t>ACTION AmEAG Chair to be invited to SRC</w:t>
            </w:r>
          </w:p>
          <w:p w14:paraId="1C632644" w14:textId="37CB89F0" w:rsidR="0004414A" w:rsidRPr="00643458" w:rsidRDefault="0004414A" w:rsidP="2CCD8C55"/>
          <w:p w14:paraId="2AD1640C" w14:textId="23FEF7B2" w:rsidR="0004414A" w:rsidRPr="00643458" w:rsidRDefault="0028071E" w:rsidP="2CCD8C55">
            <w:r w:rsidRPr="00643458">
              <w:t>The new Royal College</w:t>
            </w:r>
            <w:r w:rsidR="2CCD8C55" w:rsidRPr="00643458">
              <w:t xml:space="preserve"> – governance </w:t>
            </w:r>
            <w:r w:rsidR="00337FD8" w:rsidRPr="00643458">
              <w:t xml:space="preserve">has not been </w:t>
            </w:r>
            <w:r w:rsidR="2CCD8C55" w:rsidRPr="00643458">
              <w:t xml:space="preserve">outlined but EAGs still very relevant and </w:t>
            </w:r>
            <w:r w:rsidR="00337FD8" w:rsidRPr="00643458">
              <w:t>should continue. We will keep everyone updated as plans progress and if any advice sought.</w:t>
            </w:r>
          </w:p>
          <w:p w14:paraId="0F8475CC" w14:textId="63A021C6" w:rsidR="00337FD8" w:rsidRPr="00643458" w:rsidRDefault="00337FD8" w:rsidP="00337FD8">
            <w:r w:rsidRPr="00643458">
              <w:t>We will require an ESPAUR representative</w:t>
            </w:r>
          </w:p>
          <w:p w14:paraId="089DEEAB" w14:textId="0B9043E6" w:rsidR="0004414A" w:rsidRPr="00643458" w:rsidRDefault="0004414A" w:rsidP="2CCD8C55"/>
          <w:p w14:paraId="654DF1B0" w14:textId="77777777" w:rsidR="0004414A" w:rsidRPr="00643458" w:rsidRDefault="61B41039" w:rsidP="61B41039">
            <w:r w:rsidRPr="00643458">
              <w:t>Media training</w:t>
            </w:r>
            <w:r w:rsidR="00337FD8" w:rsidRPr="00643458">
              <w:t xml:space="preserve"> is specific to organisation release so better for </w:t>
            </w:r>
            <w:r w:rsidRPr="00643458">
              <w:t>comms team to follow up with in future</w:t>
            </w:r>
            <w:r w:rsidR="00337FD8" w:rsidRPr="00643458">
              <w:t>. Advice will be sought and fed through to comms team.</w:t>
            </w:r>
          </w:p>
          <w:p w14:paraId="30E55C1C" w14:textId="77777777" w:rsidR="00337FD8" w:rsidRPr="00643458" w:rsidRDefault="00337FD8" w:rsidP="61B41039"/>
          <w:p w14:paraId="798F1D82" w14:textId="046F6FF5" w:rsidR="00337FD8" w:rsidRPr="00643458" w:rsidRDefault="00337FD8" w:rsidP="61B41039"/>
        </w:tc>
      </w:tr>
    </w:tbl>
    <w:p w14:paraId="004CBCC6" w14:textId="77777777" w:rsidR="0004414A" w:rsidRPr="00643458" w:rsidRDefault="0004414A" w:rsidP="004130F1">
      <w:pPr>
        <w:spacing w:after="0"/>
      </w:pPr>
    </w:p>
    <w:p w14:paraId="1BD3CE1F" w14:textId="77777777" w:rsidR="00CE1007" w:rsidRPr="00643458" w:rsidRDefault="00CE1007" w:rsidP="004130F1">
      <w:pPr>
        <w:spacing w:after="0"/>
      </w:pPr>
    </w:p>
    <w:p w14:paraId="5E50B15A" w14:textId="0BA32969" w:rsidR="004130F1" w:rsidRPr="00643458" w:rsidRDefault="0004414A" w:rsidP="004130F1">
      <w:pPr>
        <w:pStyle w:val="Heading2"/>
        <w:pBdr>
          <w:bottom w:val="single" w:sz="4" w:space="1" w:color="auto"/>
        </w:pBdr>
        <w:shd w:val="clear" w:color="auto" w:fill="DEEAF6" w:themeFill="accent5" w:themeFillTint="33"/>
        <w:rPr>
          <w:b/>
          <w:bCs/>
          <w:color w:val="000000" w:themeColor="text1"/>
        </w:rPr>
      </w:pPr>
      <w:r w:rsidRPr="00643458">
        <w:rPr>
          <w:b/>
          <w:bCs/>
          <w:color w:val="000000" w:themeColor="text1"/>
        </w:rPr>
        <w:t xml:space="preserve">2: </w:t>
      </w:r>
      <w:r w:rsidR="004130F1" w:rsidRPr="00643458">
        <w:rPr>
          <w:b/>
          <w:bCs/>
          <w:color w:val="000000" w:themeColor="text1"/>
        </w:rPr>
        <w:t>Relevance</w:t>
      </w:r>
    </w:p>
    <w:p w14:paraId="51C3334C" w14:textId="5D154804" w:rsidR="004130F1" w:rsidRPr="00643458" w:rsidRDefault="004130F1" w:rsidP="004130F1">
      <w:pPr>
        <w:spacing w:after="0"/>
      </w:pPr>
    </w:p>
    <w:tbl>
      <w:tblPr>
        <w:tblStyle w:val="TableGrid"/>
        <w:tblW w:w="9016" w:type="dxa"/>
        <w:tblLook w:val="04A0" w:firstRow="1" w:lastRow="0" w:firstColumn="1" w:lastColumn="0" w:noHBand="0" w:noVBand="1"/>
      </w:tblPr>
      <w:tblGrid>
        <w:gridCol w:w="1365"/>
        <w:gridCol w:w="4726"/>
        <w:gridCol w:w="2925"/>
      </w:tblGrid>
      <w:tr w:rsidR="00C90D6E" w:rsidRPr="00643458" w14:paraId="17DFFA80" w14:textId="77777777" w:rsidTr="7A0D0F9E">
        <w:trPr>
          <w:trHeight w:val="317"/>
        </w:trPr>
        <w:tc>
          <w:tcPr>
            <w:tcW w:w="1365" w:type="dxa"/>
            <w:shd w:val="clear" w:color="auto" w:fill="DEEAF6" w:themeFill="accent5" w:themeFillTint="33"/>
          </w:tcPr>
          <w:p w14:paraId="5DFE9F7E" w14:textId="77777777" w:rsidR="00C90D6E" w:rsidRPr="00643458" w:rsidRDefault="00C90D6E" w:rsidP="00C90D6E">
            <w:pPr>
              <w:rPr>
                <w:b/>
                <w:bCs/>
              </w:rPr>
            </w:pPr>
            <w:r w:rsidRPr="00643458">
              <w:rPr>
                <w:b/>
                <w:bCs/>
              </w:rPr>
              <w:t>Title</w:t>
            </w:r>
          </w:p>
        </w:tc>
        <w:tc>
          <w:tcPr>
            <w:tcW w:w="4726" w:type="dxa"/>
            <w:shd w:val="clear" w:color="auto" w:fill="DEEAF6" w:themeFill="accent5" w:themeFillTint="33"/>
          </w:tcPr>
          <w:p w14:paraId="5F1BC1D2" w14:textId="7AE79FA6" w:rsidR="00C90D6E" w:rsidRPr="00643458" w:rsidRDefault="002B1861" w:rsidP="00C90D6E">
            <w:pPr>
              <w:rPr>
                <w:b/>
                <w:bCs/>
              </w:rPr>
            </w:pPr>
            <w:r w:rsidRPr="00643458">
              <w:rPr>
                <w:b/>
                <w:bCs/>
              </w:rPr>
              <w:t>AmEAG and RPS</w:t>
            </w:r>
          </w:p>
        </w:tc>
        <w:tc>
          <w:tcPr>
            <w:tcW w:w="2925" w:type="dxa"/>
            <w:shd w:val="clear" w:color="auto" w:fill="DEEAF6" w:themeFill="accent5" w:themeFillTint="33"/>
          </w:tcPr>
          <w:p w14:paraId="0C399399" w14:textId="168F4474" w:rsidR="00C90D6E" w:rsidRPr="00643458" w:rsidRDefault="00C90D6E" w:rsidP="00C90D6E">
            <w:pPr>
              <w:rPr>
                <w:b/>
                <w:bCs/>
              </w:rPr>
            </w:pPr>
            <w:r w:rsidRPr="00643458">
              <w:rPr>
                <w:b/>
                <w:bCs/>
              </w:rPr>
              <w:t>Time of item</w:t>
            </w:r>
            <w:r w:rsidR="002E5099" w:rsidRPr="00643458">
              <w:rPr>
                <w:b/>
                <w:bCs/>
              </w:rPr>
              <w:t xml:space="preserve"> 2.30pm</w:t>
            </w:r>
          </w:p>
        </w:tc>
      </w:tr>
      <w:tr w:rsidR="00C90D6E" w:rsidRPr="00643458" w14:paraId="169320D4" w14:textId="77777777" w:rsidTr="7A0D0F9E">
        <w:trPr>
          <w:trHeight w:val="916"/>
        </w:trPr>
        <w:tc>
          <w:tcPr>
            <w:tcW w:w="1365" w:type="dxa"/>
          </w:tcPr>
          <w:p w14:paraId="0699B088" w14:textId="77777777" w:rsidR="00C90D6E" w:rsidRPr="00643458" w:rsidRDefault="00C90D6E" w:rsidP="00C90D6E">
            <w:pPr>
              <w:rPr>
                <w:b/>
                <w:bCs/>
              </w:rPr>
            </w:pPr>
            <w:r w:rsidRPr="00643458">
              <w:rPr>
                <w:b/>
                <w:bCs/>
              </w:rPr>
              <w:t>Description</w:t>
            </w:r>
          </w:p>
        </w:tc>
        <w:tc>
          <w:tcPr>
            <w:tcW w:w="7651" w:type="dxa"/>
            <w:gridSpan w:val="2"/>
          </w:tcPr>
          <w:p w14:paraId="3CCAAD34" w14:textId="77777777" w:rsidR="00C90D6E" w:rsidRPr="00643458" w:rsidRDefault="002E5099" w:rsidP="002B1861">
            <w:r w:rsidRPr="00643458">
              <w:t>Introduction to RPS and ways of working for EAGs</w:t>
            </w:r>
          </w:p>
          <w:p w14:paraId="5B2DDD3C" w14:textId="77777777" w:rsidR="002E5099" w:rsidRPr="00643458" w:rsidRDefault="002E5099" w:rsidP="002B1861">
            <w:r w:rsidRPr="00643458">
              <w:t>Royal College and AmEAG</w:t>
            </w:r>
          </w:p>
          <w:p w14:paraId="0320A629" w14:textId="73B2E3A5" w:rsidR="002E5099" w:rsidRPr="00643458" w:rsidRDefault="002E5099" w:rsidP="002B1861">
            <w:r w:rsidRPr="00643458">
              <w:t>Greener Pharmacy Guide – what does it mean for AmEAG?</w:t>
            </w:r>
          </w:p>
        </w:tc>
      </w:tr>
      <w:tr w:rsidR="00C90D6E" w:rsidRPr="00643458" w14:paraId="60B77CBF" w14:textId="77777777" w:rsidTr="7A0D0F9E">
        <w:trPr>
          <w:trHeight w:val="568"/>
        </w:trPr>
        <w:tc>
          <w:tcPr>
            <w:tcW w:w="1365" w:type="dxa"/>
          </w:tcPr>
          <w:p w14:paraId="255F25C2" w14:textId="77777777" w:rsidR="00C90D6E" w:rsidRPr="00643458" w:rsidRDefault="00C90D6E" w:rsidP="00C90D6E">
            <w:pPr>
              <w:rPr>
                <w:b/>
                <w:bCs/>
              </w:rPr>
            </w:pPr>
            <w:r w:rsidRPr="00643458">
              <w:rPr>
                <w:b/>
                <w:bCs/>
              </w:rPr>
              <w:t>Purpose</w:t>
            </w:r>
          </w:p>
        </w:tc>
        <w:tc>
          <w:tcPr>
            <w:tcW w:w="7651" w:type="dxa"/>
            <w:gridSpan w:val="2"/>
          </w:tcPr>
          <w:p w14:paraId="2D6173D7" w14:textId="1E0B9991" w:rsidR="00E14CCB" w:rsidRPr="00643458" w:rsidRDefault="4D280B79" w:rsidP="00C90D6E">
            <w:r w:rsidRPr="00643458">
              <w:t>To update AmEAG on RPS ongoing and future work</w:t>
            </w:r>
          </w:p>
          <w:p w14:paraId="1D565602" w14:textId="53D3843D" w:rsidR="00E14CCB" w:rsidRPr="00643458" w:rsidRDefault="00E14CCB" w:rsidP="4D280B79"/>
          <w:p w14:paraId="4E384B8F" w14:textId="0EA5BA87" w:rsidR="00E14CCB" w:rsidRPr="00643458" w:rsidRDefault="00E14CCB" w:rsidP="00C90D6E"/>
        </w:tc>
      </w:tr>
      <w:tr w:rsidR="00C90D6E" w:rsidRPr="00643458" w14:paraId="719CB272" w14:textId="77777777" w:rsidTr="7A0D0F9E">
        <w:trPr>
          <w:trHeight w:val="973"/>
        </w:trPr>
        <w:tc>
          <w:tcPr>
            <w:tcW w:w="1365" w:type="dxa"/>
          </w:tcPr>
          <w:p w14:paraId="7A399662" w14:textId="085F4822" w:rsidR="00C90D6E" w:rsidRPr="00643458" w:rsidRDefault="00990A5F" w:rsidP="00C90D6E">
            <w:pPr>
              <w:rPr>
                <w:b/>
                <w:bCs/>
              </w:rPr>
            </w:pPr>
            <w:r w:rsidRPr="00643458">
              <w:rPr>
                <w:b/>
                <w:bCs/>
              </w:rPr>
              <w:t>Outcomes</w:t>
            </w:r>
          </w:p>
        </w:tc>
        <w:tc>
          <w:tcPr>
            <w:tcW w:w="7651" w:type="dxa"/>
            <w:gridSpan w:val="2"/>
          </w:tcPr>
          <w:p w14:paraId="1FDB2778" w14:textId="0C380698" w:rsidR="00AB15E0" w:rsidRPr="00643458" w:rsidRDefault="00AB15E0" w:rsidP="0028071E">
            <w:r w:rsidRPr="00643458">
              <w:t>The ways of working and Royal college update was heard under the previous item.</w:t>
            </w:r>
          </w:p>
          <w:p w14:paraId="2CECFFAB" w14:textId="77777777" w:rsidR="00AB15E0" w:rsidRPr="00643458" w:rsidRDefault="00AB15E0" w:rsidP="0028071E"/>
          <w:p w14:paraId="1BF10BFE" w14:textId="77777777" w:rsidR="00AB15E0" w:rsidRPr="00643458" w:rsidRDefault="00102A67" w:rsidP="0028071E">
            <w:r w:rsidRPr="00643458">
              <w:t>There was</w:t>
            </w:r>
            <w:r w:rsidR="00337FD8" w:rsidRPr="00643458">
              <w:t xml:space="preserve"> a good discussion on the </w:t>
            </w:r>
            <w:r w:rsidR="00AB15E0" w:rsidRPr="00643458">
              <w:t>future project ideas for the group to review and look to take forward if willing participants come forward.</w:t>
            </w:r>
          </w:p>
          <w:p w14:paraId="2248B644" w14:textId="77777777" w:rsidR="00AB15E0" w:rsidRPr="00643458" w:rsidRDefault="00AB15E0" w:rsidP="0028071E"/>
          <w:p w14:paraId="29603841" w14:textId="77777777" w:rsidR="00AB15E0" w:rsidRPr="00643458" w:rsidRDefault="00AB15E0" w:rsidP="0028071E">
            <w:r w:rsidRPr="00643458">
              <w:t>Topics included:</w:t>
            </w:r>
          </w:p>
          <w:p w14:paraId="65026C3E" w14:textId="77777777" w:rsidR="00AB15E0" w:rsidRPr="00643458" w:rsidRDefault="00AB15E0" w:rsidP="0028071E">
            <w:pPr>
              <w:pStyle w:val="ListParagraph"/>
              <w:numPr>
                <w:ilvl w:val="0"/>
                <w:numId w:val="7"/>
              </w:numPr>
            </w:pPr>
            <w:r w:rsidRPr="00643458">
              <w:t xml:space="preserve">Greener Pharmacy Guide and Toolkit </w:t>
            </w:r>
          </w:p>
          <w:p w14:paraId="4A00601C" w14:textId="42B6B767" w:rsidR="00AB15E0" w:rsidRPr="00643458" w:rsidRDefault="00AB15E0" w:rsidP="00B01148">
            <w:pPr>
              <w:pStyle w:val="ListParagraph"/>
              <w:numPr>
                <w:ilvl w:val="1"/>
                <w:numId w:val="10"/>
              </w:numPr>
            </w:pPr>
            <w:r w:rsidRPr="00643458">
              <w:t>implementing an AMS focused statement or resource alongside provision of examples of AMS sustainability working across different sectors and how this works.</w:t>
            </w:r>
          </w:p>
          <w:p w14:paraId="60A3C30C" w14:textId="77777777" w:rsidR="00AB15E0" w:rsidRPr="00643458" w:rsidRDefault="00AB15E0" w:rsidP="00B01148">
            <w:pPr>
              <w:pStyle w:val="ListParagraph"/>
              <w:numPr>
                <w:ilvl w:val="1"/>
                <w:numId w:val="10"/>
              </w:numPr>
            </w:pPr>
            <w:r w:rsidRPr="00643458">
              <w:t>Possibly look to combine with GP Practice toolkit</w:t>
            </w:r>
          </w:p>
          <w:p w14:paraId="4D3ED90E" w14:textId="225E1DE9" w:rsidR="00A46293" w:rsidRPr="00643458" w:rsidRDefault="00A46293" w:rsidP="00B01148">
            <w:pPr>
              <w:pStyle w:val="ListParagraph"/>
              <w:numPr>
                <w:ilvl w:val="0"/>
                <w:numId w:val="7"/>
              </w:numPr>
            </w:pPr>
            <w:r w:rsidRPr="00643458">
              <w:t>OPAT plus clinical services</w:t>
            </w:r>
          </w:p>
          <w:p w14:paraId="30EDA3F8" w14:textId="5103C75A" w:rsidR="00A46293" w:rsidRPr="00643458" w:rsidRDefault="00A46293" w:rsidP="00B01148">
            <w:pPr>
              <w:pStyle w:val="ListParagraph"/>
              <w:numPr>
                <w:ilvl w:val="0"/>
                <w:numId w:val="7"/>
              </w:numPr>
            </w:pPr>
            <w:r w:rsidRPr="00643458">
              <w:t>Costs – economic value of AMS teams? Framework NHSE</w:t>
            </w:r>
          </w:p>
          <w:p w14:paraId="1B1CDB49" w14:textId="40A3213C" w:rsidR="00C90D6E" w:rsidRPr="00643458" w:rsidRDefault="00B01148" w:rsidP="00B01148">
            <w:pPr>
              <w:pStyle w:val="ListParagraph"/>
              <w:numPr>
                <w:ilvl w:val="0"/>
                <w:numId w:val="7"/>
              </w:numPr>
            </w:pPr>
            <w:r w:rsidRPr="00643458">
              <w:t>Horizon scanning</w:t>
            </w:r>
            <w:r w:rsidR="00A46293" w:rsidRPr="00643458">
              <w:t xml:space="preserve">, identifying anything coming up </w:t>
            </w:r>
          </w:p>
          <w:p w14:paraId="717DE673" w14:textId="55873A6B" w:rsidR="00B01148" w:rsidRPr="00643458" w:rsidRDefault="00B01148" w:rsidP="00B01148">
            <w:pPr>
              <w:pStyle w:val="ListParagraph"/>
              <w:numPr>
                <w:ilvl w:val="0"/>
                <w:numId w:val="7"/>
              </w:numPr>
            </w:pPr>
            <w:r w:rsidRPr="00643458">
              <w:t>How stewardship is integrated</w:t>
            </w:r>
            <w:r w:rsidR="00A46293" w:rsidRPr="00643458">
              <w:t xml:space="preserve"> in services – a part of MDTs, rounds,</w:t>
            </w:r>
          </w:p>
          <w:p w14:paraId="4BBC75C2" w14:textId="1903A4E9" w:rsidR="753B37BC" w:rsidRPr="00643458" w:rsidRDefault="753B37BC" w:rsidP="753B37BC">
            <w:pPr>
              <w:pStyle w:val="ListParagraph"/>
              <w:ind w:left="360"/>
            </w:pPr>
          </w:p>
          <w:p w14:paraId="403EA374" w14:textId="51FEB20B" w:rsidR="00C90D6E" w:rsidRPr="00643458" w:rsidRDefault="00A46293" w:rsidP="2E3E4424">
            <w:pPr>
              <w:pStyle w:val="ListParagraph"/>
              <w:ind w:left="360"/>
            </w:pPr>
            <w:r w:rsidRPr="00643458">
              <w:t>Group agreed to move forward with project work by calling on volunteers to form short working groups.</w:t>
            </w:r>
          </w:p>
          <w:p w14:paraId="528B9BED" w14:textId="77777777" w:rsidR="00A46293" w:rsidRPr="00643458" w:rsidRDefault="00A46293" w:rsidP="2E3E4424">
            <w:pPr>
              <w:pStyle w:val="ListParagraph"/>
              <w:ind w:left="360"/>
            </w:pPr>
          </w:p>
          <w:p w14:paraId="02D629C8" w14:textId="40FE3347" w:rsidR="00C90D6E" w:rsidRPr="00643458" w:rsidRDefault="00A46293" w:rsidP="00A46293">
            <w:r w:rsidRPr="00643458">
              <w:t xml:space="preserve">DAO then gave an update on the current </w:t>
            </w:r>
            <w:r w:rsidR="52AB3132" w:rsidRPr="00643458">
              <w:t>S</w:t>
            </w:r>
            <w:r w:rsidRPr="00643458">
              <w:t>cience and research team</w:t>
            </w:r>
            <w:r w:rsidR="52AB3132" w:rsidRPr="00643458">
              <w:t>, EAGs (AmEAG IPEAG) and SRC</w:t>
            </w:r>
            <w:r w:rsidRPr="00643458">
              <w:t xml:space="preserve"> and how these all work together.</w:t>
            </w:r>
          </w:p>
          <w:p w14:paraId="2F504E56" w14:textId="5C3E1932" w:rsidR="00A46293" w:rsidRPr="00643458" w:rsidRDefault="00A46293" w:rsidP="00A46293">
            <w:r w:rsidRPr="00643458">
              <w:t>The other workings of the team:</w:t>
            </w:r>
          </w:p>
          <w:p w14:paraId="2C3F5797" w14:textId="674D573E" w:rsidR="00C90D6E" w:rsidRPr="00643458" w:rsidRDefault="52AB3132" w:rsidP="00A46293">
            <w:pPr>
              <w:pStyle w:val="ListParagraph"/>
              <w:numPr>
                <w:ilvl w:val="0"/>
                <w:numId w:val="11"/>
              </w:numPr>
            </w:pPr>
            <w:r w:rsidRPr="00643458">
              <w:t>Awards</w:t>
            </w:r>
          </w:p>
          <w:p w14:paraId="2FFC1ED3" w14:textId="42BBB83D" w:rsidR="00C90D6E" w:rsidRPr="00643458" w:rsidRDefault="52AB3132" w:rsidP="00A46293">
            <w:pPr>
              <w:pStyle w:val="ListParagraph"/>
              <w:numPr>
                <w:ilvl w:val="0"/>
                <w:numId w:val="11"/>
              </w:numPr>
            </w:pPr>
            <w:r w:rsidRPr="00643458">
              <w:t>Workforce wellbeing</w:t>
            </w:r>
          </w:p>
          <w:p w14:paraId="5920B2C3" w14:textId="20555AE6" w:rsidR="00C90D6E" w:rsidRPr="00643458" w:rsidRDefault="3880A7A1" w:rsidP="00A46293">
            <w:pPr>
              <w:pStyle w:val="ListParagraph"/>
              <w:numPr>
                <w:ilvl w:val="0"/>
                <w:numId w:val="11"/>
              </w:numPr>
            </w:pPr>
            <w:r w:rsidRPr="00643458">
              <w:t>Application of science project</w:t>
            </w:r>
          </w:p>
          <w:p w14:paraId="5F42D788" w14:textId="09820068" w:rsidR="00C90D6E" w:rsidRPr="00643458" w:rsidRDefault="3880A7A1" w:rsidP="00A46293">
            <w:pPr>
              <w:pStyle w:val="ListParagraph"/>
              <w:numPr>
                <w:ilvl w:val="0"/>
                <w:numId w:val="11"/>
              </w:numPr>
            </w:pPr>
            <w:r w:rsidRPr="00643458">
              <w:t>Funding opportunities</w:t>
            </w:r>
          </w:p>
          <w:p w14:paraId="61E80AFE" w14:textId="43AD5106" w:rsidR="00C90D6E" w:rsidRPr="00643458" w:rsidRDefault="753B37BC" w:rsidP="00A46293">
            <w:pPr>
              <w:pStyle w:val="ListParagraph"/>
              <w:numPr>
                <w:ilvl w:val="0"/>
                <w:numId w:val="11"/>
              </w:numPr>
            </w:pPr>
            <w:r w:rsidRPr="00643458">
              <w:t>Research journals, podcasts, webinars</w:t>
            </w:r>
          </w:p>
          <w:p w14:paraId="6383A7DA" w14:textId="3FF6B457" w:rsidR="00A46293" w:rsidRPr="00643458" w:rsidRDefault="00A46293" w:rsidP="00A46293">
            <w:pPr>
              <w:pStyle w:val="ListParagraph"/>
              <w:numPr>
                <w:ilvl w:val="0"/>
                <w:numId w:val="11"/>
              </w:numPr>
            </w:pPr>
            <w:r w:rsidRPr="00643458">
              <w:t>NIHR eLearning</w:t>
            </w:r>
          </w:p>
          <w:p w14:paraId="741F02F4" w14:textId="23E2C60B" w:rsidR="00A46293" w:rsidRPr="00643458" w:rsidRDefault="00A46293" w:rsidP="00A46293">
            <w:pPr>
              <w:pStyle w:val="ListParagraph"/>
              <w:numPr>
                <w:ilvl w:val="0"/>
                <w:numId w:val="11"/>
              </w:numPr>
            </w:pPr>
            <w:r w:rsidRPr="00643458">
              <w:t>Research support service</w:t>
            </w:r>
          </w:p>
          <w:p w14:paraId="65F185AB" w14:textId="11CB7143" w:rsidR="00A46293" w:rsidRPr="00643458" w:rsidRDefault="00A46293" w:rsidP="00A46293">
            <w:pPr>
              <w:pStyle w:val="ListParagraph"/>
              <w:numPr>
                <w:ilvl w:val="0"/>
                <w:numId w:val="11"/>
              </w:numPr>
            </w:pPr>
            <w:r w:rsidRPr="00643458">
              <w:t>Pharmacy research guides</w:t>
            </w:r>
          </w:p>
          <w:p w14:paraId="2301337C" w14:textId="0B8D466A" w:rsidR="00C90D6E" w:rsidRPr="00643458" w:rsidRDefault="00C90D6E" w:rsidP="753B37BC">
            <w:pPr>
              <w:pStyle w:val="ListParagraph"/>
              <w:ind w:left="360"/>
            </w:pPr>
          </w:p>
          <w:p w14:paraId="567B6796" w14:textId="7695D946" w:rsidR="00EE183C" w:rsidRPr="00643458" w:rsidRDefault="00EE183C" w:rsidP="00EE183C">
            <w:r w:rsidRPr="00643458">
              <w:t>Discussion around the following:</w:t>
            </w:r>
          </w:p>
          <w:p w14:paraId="6600596C" w14:textId="22B434C4" w:rsidR="00C90D6E" w:rsidRPr="00643458" w:rsidRDefault="45C016EC" w:rsidP="00EE183C">
            <w:pPr>
              <w:pStyle w:val="ListParagraph"/>
              <w:numPr>
                <w:ilvl w:val="0"/>
                <w:numId w:val="13"/>
              </w:numPr>
            </w:pPr>
            <w:r w:rsidRPr="00643458">
              <w:lastRenderedPageBreak/>
              <w:t xml:space="preserve">How do we prove economic value of pharms getting involved in </w:t>
            </w:r>
            <w:r w:rsidR="00EE183C" w:rsidRPr="00643458">
              <w:t xml:space="preserve">research for </w:t>
            </w:r>
            <w:r w:rsidRPr="00643458">
              <w:t>services? Health economics would be required...how would this look like?</w:t>
            </w:r>
            <w:r w:rsidR="00EE183C" w:rsidRPr="00643458">
              <w:t xml:space="preserve"> – Will be required to find health economic expertise</w:t>
            </w:r>
          </w:p>
          <w:p w14:paraId="729244ED" w14:textId="41F366E3" w:rsidR="00C90D6E" w:rsidRPr="00643458" w:rsidRDefault="00C90D6E" w:rsidP="45C016EC">
            <w:pPr>
              <w:pStyle w:val="ListParagraph"/>
              <w:ind w:left="360"/>
            </w:pPr>
          </w:p>
          <w:p w14:paraId="469D9787" w14:textId="2E215C3C" w:rsidR="00C90D6E" w:rsidRPr="00643458" w:rsidRDefault="00EE183C" w:rsidP="00EE183C">
            <w:pPr>
              <w:pStyle w:val="ListParagraph"/>
              <w:numPr>
                <w:ilvl w:val="0"/>
                <w:numId w:val="13"/>
              </w:numPr>
            </w:pPr>
            <w:r w:rsidRPr="00643458">
              <w:t>Link shared to collate further information on people’s expertise – to help support science and research team.</w:t>
            </w:r>
          </w:p>
          <w:p w14:paraId="3DB70CCB" w14:textId="77777777" w:rsidR="00EE183C" w:rsidRPr="00643458" w:rsidRDefault="00EE183C" w:rsidP="00EE183C"/>
          <w:p w14:paraId="6F730202" w14:textId="5226CC2E" w:rsidR="00C90D6E" w:rsidRPr="00643458" w:rsidRDefault="5058E2C1" w:rsidP="00EE183C">
            <w:pPr>
              <w:pStyle w:val="ListParagraph"/>
              <w:numPr>
                <w:ilvl w:val="0"/>
                <w:numId w:val="13"/>
              </w:numPr>
            </w:pPr>
            <w:r w:rsidRPr="00643458">
              <w:t>Workforce wellbeing is being put forward to policy leaders across NHS GOV etc – lobbying is being done.</w:t>
            </w:r>
            <w:r w:rsidR="00B931D3" w:rsidRPr="00643458">
              <w:t xml:space="preserve"> Medicines shortages work is ongoing, probably not seen by the working pharmacist. Things will not just sit in reports, on websites.</w:t>
            </w:r>
          </w:p>
          <w:p w14:paraId="0583EEB0" w14:textId="77777777" w:rsidR="00EE183C" w:rsidRPr="00643458" w:rsidRDefault="00EE183C" w:rsidP="00EE183C">
            <w:pPr>
              <w:pStyle w:val="ListParagraph"/>
            </w:pPr>
          </w:p>
          <w:p w14:paraId="2A57C16F" w14:textId="77777777" w:rsidR="00B931D3" w:rsidRPr="00643458" w:rsidRDefault="00EE183C" w:rsidP="00B931D3">
            <w:pPr>
              <w:pStyle w:val="ListParagraph"/>
              <w:numPr>
                <w:ilvl w:val="0"/>
                <w:numId w:val="13"/>
              </w:numPr>
            </w:pPr>
            <w:r w:rsidRPr="00643458">
              <w:t>Further webinar topics, infection research</w:t>
            </w:r>
          </w:p>
          <w:p w14:paraId="03A49845" w14:textId="77777777" w:rsidR="00B931D3" w:rsidRPr="00643458" w:rsidRDefault="00B931D3" w:rsidP="00B931D3">
            <w:pPr>
              <w:pStyle w:val="ListParagraph"/>
            </w:pPr>
          </w:p>
          <w:p w14:paraId="6B1714A5" w14:textId="1D617562" w:rsidR="00B931D3" w:rsidRPr="00643458" w:rsidRDefault="5058E2C1" w:rsidP="00B931D3">
            <w:pPr>
              <w:pStyle w:val="ListParagraph"/>
              <w:numPr>
                <w:ilvl w:val="0"/>
                <w:numId w:val="13"/>
              </w:numPr>
            </w:pPr>
            <w:r w:rsidRPr="00643458">
              <w:t xml:space="preserve">Digital vision work </w:t>
            </w:r>
            <w:r w:rsidR="00B931D3" w:rsidRPr="00643458">
              <w:t>–</w:t>
            </w:r>
            <w:r w:rsidRPr="00643458">
              <w:t xml:space="preserve"> </w:t>
            </w:r>
            <w:r w:rsidR="00B931D3" w:rsidRPr="00643458">
              <w:t>how will this impact, can AmEAG help to share, knowledge mobilisation, digital transformation etc. Making sure PCN is incorporated along with devolved nations. Linking with the Digital EAG and work already completed to move forwards.</w:t>
            </w:r>
          </w:p>
          <w:p w14:paraId="6F7FED82" w14:textId="77777777" w:rsidR="00B931D3" w:rsidRPr="00643458" w:rsidRDefault="00B931D3" w:rsidP="00B931D3">
            <w:pPr>
              <w:pStyle w:val="ListParagraph"/>
            </w:pPr>
          </w:p>
          <w:p w14:paraId="0A2BD994" w14:textId="77777777" w:rsidR="00B931D3" w:rsidRPr="00643458" w:rsidRDefault="0C015C5C" w:rsidP="00B931D3">
            <w:pPr>
              <w:pStyle w:val="ListParagraph"/>
              <w:numPr>
                <w:ilvl w:val="0"/>
                <w:numId w:val="13"/>
              </w:numPr>
            </w:pPr>
            <w:r w:rsidRPr="00643458">
              <w:t>Diversity across the group brings wealth of knowledge, bring all the multiple hats together</w:t>
            </w:r>
          </w:p>
          <w:p w14:paraId="4F46BD82" w14:textId="77777777" w:rsidR="00B931D3" w:rsidRPr="00643458" w:rsidRDefault="00B931D3" w:rsidP="00B931D3">
            <w:pPr>
              <w:pStyle w:val="ListParagraph"/>
            </w:pPr>
          </w:p>
          <w:p w14:paraId="617E6109" w14:textId="77777777" w:rsidR="00B931D3" w:rsidRPr="00643458" w:rsidRDefault="0C015C5C" w:rsidP="00B931D3">
            <w:pPr>
              <w:pStyle w:val="ListParagraph"/>
              <w:numPr>
                <w:ilvl w:val="0"/>
                <w:numId w:val="13"/>
              </w:numPr>
            </w:pPr>
            <w:r w:rsidRPr="00643458">
              <w:t>Raising the profile of AMS, meds shortages group</w:t>
            </w:r>
          </w:p>
          <w:p w14:paraId="485D74AE" w14:textId="77777777" w:rsidR="00B931D3" w:rsidRPr="00643458" w:rsidRDefault="00B931D3" w:rsidP="00B931D3">
            <w:pPr>
              <w:pStyle w:val="ListParagraph"/>
            </w:pPr>
          </w:p>
          <w:p w14:paraId="519CB229" w14:textId="4F288B8C" w:rsidR="00C90D6E" w:rsidRPr="00643458" w:rsidRDefault="7A0D0F9E" w:rsidP="00B931D3">
            <w:pPr>
              <w:pStyle w:val="ListParagraph"/>
              <w:numPr>
                <w:ilvl w:val="0"/>
                <w:numId w:val="13"/>
              </w:numPr>
            </w:pPr>
            <w:r w:rsidRPr="00643458">
              <w:t>Link with other groups – UKCPA, international links</w:t>
            </w:r>
          </w:p>
          <w:p w14:paraId="0EE62B3B" w14:textId="7742ADF6" w:rsidR="7A0D0F9E" w:rsidRPr="00643458" w:rsidRDefault="7A0D0F9E" w:rsidP="7A0D0F9E">
            <w:pPr>
              <w:pStyle w:val="ListParagraph"/>
              <w:ind w:left="360"/>
            </w:pPr>
          </w:p>
          <w:p w14:paraId="38156E29" w14:textId="4EEDFAFB" w:rsidR="7A0D0F9E" w:rsidRPr="00643458" w:rsidRDefault="7A0D0F9E" w:rsidP="7A0D0F9E">
            <w:pPr>
              <w:pStyle w:val="ListParagraph"/>
              <w:ind w:left="360"/>
            </w:pPr>
            <w:r w:rsidRPr="00643458">
              <w:t>Key priorities for each member agenda item (ACTION)</w:t>
            </w:r>
          </w:p>
          <w:p w14:paraId="0E4B1621" w14:textId="5A4B217B" w:rsidR="00C90D6E" w:rsidRPr="00643458" w:rsidRDefault="00C90D6E" w:rsidP="0C015C5C">
            <w:pPr>
              <w:pStyle w:val="ListParagraph"/>
              <w:ind w:left="360"/>
            </w:pPr>
          </w:p>
        </w:tc>
      </w:tr>
    </w:tbl>
    <w:p w14:paraId="715B7E06" w14:textId="77777777" w:rsidR="00C90D6E" w:rsidRDefault="00C90D6E" w:rsidP="004130F1">
      <w:pPr>
        <w:spacing w:after="0"/>
      </w:pPr>
    </w:p>
    <w:p w14:paraId="264A7EFB" w14:textId="5DF8314D" w:rsidR="00C90D6E" w:rsidRDefault="00C90D6E" w:rsidP="004130F1">
      <w:pPr>
        <w:spacing w:after="0"/>
      </w:pPr>
    </w:p>
    <w:p w14:paraId="15883C81" w14:textId="77777777" w:rsidR="00C90D6E" w:rsidRDefault="00C90D6E" w:rsidP="004130F1">
      <w:pPr>
        <w:spacing w:after="0"/>
      </w:pPr>
    </w:p>
    <w:p w14:paraId="44E32710" w14:textId="2287150D" w:rsidR="004130F1" w:rsidRDefault="004130F1" w:rsidP="004130F1">
      <w:pPr>
        <w:spacing w:after="0"/>
      </w:pPr>
    </w:p>
    <w:p w14:paraId="333F5549" w14:textId="03370352" w:rsidR="00E14CCB" w:rsidRDefault="00E14CCB" w:rsidP="004130F1">
      <w:pPr>
        <w:spacing w:after="0"/>
      </w:pPr>
    </w:p>
    <w:p w14:paraId="708716A9" w14:textId="097D423E" w:rsidR="00CF0B7F" w:rsidRDefault="00CF0B7F" w:rsidP="004130F1">
      <w:pPr>
        <w:spacing w:after="0"/>
      </w:pPr>
    </w:p>
    <w:p w14:paraId="2562FDD8" w14:textId="61B11F95" w:rsidR="00CF0B7F" w:rsidRDefault="00CF0B7F" w:rsidP="004130F1">
      <w:pPr>
        <w:spacing w:after="0"/>
      </w:pPr>
    </w:p>
    <w:p w14:paraId="63158858" w14:textId="4C1C836A" w:rsidR="00CF0B7F" w:rsidRDefault="00CF0B7F" w:rsidP="004130F1">
      <w:pPr>
        <w:spacing w:after="0"/>
      </w:pPr>
    </w:p>
    <w:p w14:paraId="7CEA657A" w14:textId="4743EFB5" w:rsidR="00CF0B7F" w:rsidRDefault="00CF0B7F" w:rsidP="004130F1">
      <w:pPr>
        <w:spacing w:after="0"/>
      </w:pPr>
    </w:p>
    <w:p w14:paraId="42BB81B3" w14:textId="2E6B82AD" w:rsidR="0051027F" w:rsidRDefault="0051027F" w:rsidP="004130F1">
      <w:pPr>
        <w:spacing w:after="0"/>
      </w:pPr>
    </w:p>
    <w:sectPr w:rsidR="0051027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8018" w14:textId="77777777" w:rsidR="002F6C55" w:rsidRDefault="002F6C55" w:rsidP="00E14CCB">
      <w:pPr>
        <w:spacing w:after="0" w:line="240" w:lineRule="auto"/>
      </w:pPr>
      <w:r>
        <w:separator/>
      </w:r>
    </w:p>
  </w:endnote>
  <w:endnote w:type="continuationSeparator" w:id="0">
    <w:p w14:paraId="3AF26BF3" w14:textId="77777777" w:rsidR="002F6C55" w:rsidRDefault="002F6C55"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E364" w14:textId="77777777" w:rsidR="002F6C55" w:rsidRDefault="002F6C55" w:rsidP="00E14CCB">
      <w:pPr>
        <w:spacing w:after="0" w:line="240" w:lineRule="auto"/>
      </w:pPr>
      <w:r>
        <w:separator/>
      </w:r>
    </w:p>
  </w:footnote>
  <w:footnote w:type="continuationSeparator" w:id="0">
    <w:p w14:paraId="2C0E49BF" w14:textId="77777777" w:rsidR="002F6C55" w:rsidRDefault="002F6C55"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312C" w14:textId="3DBD414A"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1B79BF"/>
    <w:multiLevelType w:val="hybridMultilevel"/>
    <w:tmpl w:val="7200E0E6"/>
    <w:lvl w:ilvl="0" w:tplc="A5064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62B21"/>
    <w:multiLevelType w:val="hybridMultilevel"/>
    <w:tmpl w:val="A5705162"/>
    <w:lvl w:ilvl="0" w:tplc="2E9A26A6">
      <w:start w:val="1"/>
      <w:numFmt w:val="bullet"/>
      <w:lvlText w:val=""/>
      <w:lvlJc w:val="righ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3D7B5E"/>
    <w:multiLevelType w:val="hybridMultilevel"/>
    <w:tmpl w:val="FBFA40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E5216"/>
    <w:multiLevelType w:val="hybridMultilevel"/>
    <w:tmpl w:val="CCF21B18"/>
    <w:lvl w:ilvl="0" w:tplc="4F7EF51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D07D3"/>
    <w:multiLevelType w:val="hybridMultilevel"/>
    <w:tmpl w:val="D42C37F2"/>
    <w:lvl w:ilvl="0" w:tplc="528A0B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82297"/>
    <w:multiLevelType w:val="hybridMultilevel"/>
    <w:tmpl w:val="64102E96"/>
    <w:lvl w:ilvl="0" w:tplc="4F7EF51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B048B"/>
    <w:multiLevelType w:val="hybridMultilevel"/>
    <w:tmpl w:val="EE304232"/>
    <w:lvl w:ilvl="0" w:tplc="2E9A26A6">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431721">
    <w:abstractNumId w:val="8"/>
  </w:num>
  <w:num w:numId="2" w16cid:durableId="890732311">
    <w:abstractNumId w:val="10"/>
  </w:num>
  <w:num w:numId="3" w16cid:durableId="1231647951">
    <w:abstractNumId w:val="11"/>
  </w:num>
  <w:num w:numId="4" w16cid:durableId="113141663">
    <w:abstractNumId w:val="12"/>
  </w:num>
  <w:num w:numId="5" w16cid:durableId="1931502842">
    <w:abstractNumId w:val="0"/>
  </w:num>
  <w:num w:numId="6" w16cid:durableId="66346135">
    <w:abstractNumId w:val="1"/>
  </w:num>
  <w:num w:numId="7" w16cid:durableId="198475395">
    <w:abstractNumId w:val="4"/>
  </w:num>
  <w:num w:numId="8" w16cid:durableId="1974168657">
    <w:abstractNumId w:val="5"/>
  </w:num>
  <w:num w:numId="9" w16cid:durableId="89128997">
    <w:abstractNumId w:val="7"/>
  </w:num>
  <w:num w:numId="10" w16cid:durableId="2043284231">
    <w:abstractNumId w:val="9"/>
  </w:num>
  <w:num w:numId="11" w16cid:durableId="611471642">
    <w:abstractNumId w:val="3"/>
  </w:num>
  <w:num w:numId="12" w16cid:durableId="1331249186">
    <w:abstractNumId w:val="6"/>
  </w:num>
  <w:num w:numId="13" w16cid:durableId="80085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F1"/>
    <w:rsid w:val="00024F7C"/>
    <w:rsid w:val="00035A13"/>
    <w:rsid w:val="0004414A"/>
    <w:rsid w:val="00046FE2"/>
    <w:rsid w:val="00087631"/>
    <w:rsid w:val="00102A67"/>
    <w:rsid w:val="00182E58"/>
    <w:rsid w:val="0026426F"/>
    <w:rsid w:val="0028071E"/>
    <w:rsid w:val="00292911"/>
    <w:rsid w:val="00294F61"/>
    <w:rsid w:val="002B1861"/>
    <w:rsid w:val="002E5099"/>
    <w:rsid w:val="002F6C55"/>
    <w:rsid w:val="00327C7D"/>
    <w:rsid w:val="00337FD8"/>
    <w:rsid w:val="003C4F6D"/>
    <w:rsid w:val="004130F1"/>
    <w:rsid w:val="004B73ED"/>
    <w:rsid w:val="004D4460"/>
    <w:rsid w:val="0051027F"/>
    <w:rsid w:val="00574D06"/>
    <w:rsid w:val="006205DC"/>
    <w:rsid w:val="00643458"/>
    <w:rsid w:val="006606D8"/>
    <w:rsid w:val="006B0C08"/>
    <w:rsid w:val="0074459E"/>
    <w:rsid w:val="00767D9F"/>
    <w:rsid w:val="0077311F"/>
    <w:rsid w:val="007C74C4"/>
    <w:rsid w:val="00872852"/>
    <w:rsid w:val="008D3DCF"/>
    <w:rsid w:val="009025A1"/>
    <w:rsid w:val="00990A5F"/>
    <w:rsid w:val="00A43577"/>
    <w:rsid w:val="00A46293"/>
    <w:rsid w:val="00AB15E0"/>
    <w:rsid w:val="00B01148"/>
    <w:rsid w:val="00B653A2"/>
    <w:rsid w:val="00B74EB2"/>
    <w:rsid w:val="00B75A76"/>
    <w:rsid w:val="00B931D3"/>
    <w:rsid w:val="00C90D6E"/>
    <w:rsid w:val="00CA6883"/>
    <w:rsid w:val="00CE1007"/>
    <w:rsid w:val="00CF0B7F"/>
    <w:rsid w:val="00D132B8"/>
    <w:rsid w:val="00D7222E"/>
    <w:rsid w:val="00DA48C2"/>
    <w:rsid w:val="00E04D07"/>
    <w:rsid w:val="00E14CCB"/>
    <w:rsid w:val="00E17B5F"/>
    <w:rsid w:val="00E20F35"/>
    <w:rsid w:val="00E83287"/>
    <w:rsid w:val="00E91C82"/>
    <w:rsid w:val="00EA0B6F"/>
    <w:rsid w:val="00EE183C"/>
    <w:rsid w:val="0C015C5C"/>
    <w:rsid w:val="1A24AA47"/>
    <w:rsid w:val="2BF54A28"/>
    <w:rsid w:val="2CCD8C55"/>
    <w:rsid w:val="2E3E4424"/>
    <w:rsid w:val="31025DAF"/>
    <w:rsid w:val="3880A7A1"/>
    <w:rsid w:val="38A4561D"/>
    <w:rsid w:val="3B03F8B0"/>
    <w:rsid w:val="40A61630"/>
    <w:rsid w:val="45C016EC"/>
    <w:rsid w:val="47FBD652"/>
    <w:rsid w:val="4A988DA9"/>
    <w:rsid w:val="4D280B79"/>
    <w:rsid w:val="5028D60C"/>
    <w:rsid w:val="5058E2C1"/>
    <w:rsid w:val="517B85D5"/>
    <w:rsid w:val="52AB3132"/>
    <w:rsid w:val="587192E7"/>
    <w:rsid w:val="61B41039"/>
    <w:rsid w:val="6CB050FD"/>
    <w:rsid w:val="71C5BB81"/>
    <w:rsid w:val="72A3DDD9"/>
    <w:rsid w:val="753B37BC"/>
    <w:rsid w:val="7A0D0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7C74C4"/>
    <w:rPr>
      <w:color w:val="0563C1" w:themeColor="hyperlink"/>
      <w:u w:val="single"/>
    </w:rPr>
  </w:style>
  <w:style w:type="character" w:styleId="UnresolvedMention">
    <w:name w:val="Unresolved Mention"/>
    <w:basedOn w:val="DefaultParagraphFont"/>
    <w:uiPriority w:val="99"/>
    <w:semiHidden/>
    <w:unhideWhenUsed/>
    <w:rsid w:val="007C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98871">
      <w:bodyDiv w:val="1"/>
      <w:marLeft w:val="0"/>
      <w:marRight w:val="0"/>
      <w:marTop w:val="0"/>
      <w:marBottom w:val="0"/>
      <w:divBdr>
        <w:top w:val="none" w:sz="0" w:space="0" w:color="auto"/>
        <w:left w:val="none" w:sz="0" w:space="0" w:color="auto"/>
        <w:bottom w:val="none" w:sz="0" w:space="0" w:color="auto"/>
        <w:right w:val="none" w:sz="0" w:space="0" w:color="auto"/>
      </w:divBdr>
    </w:div>
    <w:div w:id="19310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Rebecca Braybrooks</cp:lastModifiedBy>
  <cp:revision>2</cp:revision>
  <dcterms:created xsi:type="dcterms:W3CDTF">2025-09-09T09:16:00Z</dcterms:created>
  <dcterms:modified xsi:type="dcterms:W3CDTF">2025-09-09T09:16:00Z</dcterms:modified>
</cp:coreProperties>
</file>