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8316" w14:textId="49651D24" w:rsidR="00A4753E" w:rsidRPr="003D28C2" w:rsidRDefault="003D28C2" w:rsidP="003D28C2">
      <w:pPr>
        <w:pStyle w:val="Heading1"/>
        <w:spacing w:after="0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>Antimicrobial Expert Advisory Group (AmEAG) Agenda</w:t>
      </w:r>
      <w:r w:rsidR="0068246A">
        <w:rPr>
          <w:rFonts w:ascii="Arial" w:hAnsi="Arial" w:cs="Arial"/>
          <w:color w:val="2F5496" w:themeColor="accent1" w:themeShade="BF"/>
        </w:rPr>
        <w:t xml:space="preserve"> and Outcomes</w:t>
      </w:r>
    </w:p>
    <w:p w14:paraId="6D7C6DD9" w14:textId="1128D292" w:rsidR="00A4753E" w:rsidRPr="003D28C2" w:rsidRDefault="003D28C2" w:rsidP="003D28C2">
      <w:pPr>
        <w:spacing w:before="0" w:after="160"/>
        <w:rPr>
          <w:color w:val="2F5496" w:themeColor="accent1" w:themeShade="BF"/>
        </w:rPr>
      </w:pPr>
      <w:r>
        <w:rPr>
          <w:b/>
          <w:bCs/>
          <w:sz w:val="24"/>
          <w:szCs w:val="24"/>
        </w:rPr>
        <w:t>T</w:t>
      </w:r>
      <w:r w:rsidR="00DF21E4">
        <w:rPr>
          <w:b/>
          <w:bCs/>
          <w:sz w:val="24"/>
          <w:szCs w:val="24"/>
        </w:rPr>
        <w:t>uesday 26</w:t>
      </w:r>
      <w:r w:rsidR="00DF21E4" w:rsidRPr="00DF21E4">
        <w:rPr>
          <w:b/>
          <w:bCs/>
          <w:sz w:val="24"/>
          <w:szCs w:val="24"/>
          <w:vertAlign w:val="superscript"/>
        </w:rPr>
        <w:t>th</w:t>
      </w:r>
      <w:r w:rsidR="00DF21E4">
        <w:rPr>
          <w:b/>
          <w:bCs/>
          <w:sz w:val="24"/>
          <w:szCs w:val="24"/>
        </w:rPr>
        <w:t xml:space="preserve"> March</w:t>
      </w:r>
      <w:r w:rsidR="00F932D8" w:rsidRPr="003D28C2">
        <w:rPr>
          <w:b/>
          <w:bCs/>
          <w:sz w:val="24"/>
          <w:szCs w:val="24"/>
        </w:rPr>
        <w:t xml:space="preserve"> </w:t>
      </w:r>
      <w:r w:rsidR="00A4753E" w:rsidRPr="003D28C2">
        <w:rPr>
          <w:b/>
          <w:bCs/>
          <w:sz w:val="24"/>
          <w:szCs w:val="24"/>
        </w:rPr>
        <w:t>202</w:t>
      </w:r>
      <w:r w:rsidR="00DF21E4">
        <w:rPr>
          <w:b/>
          <w:bCs/>
          <w:sz w:val="24"/>
          <w:szCs w:val="24"/>
        </w:rPr>
        <w:t>4</w:t>
      </w:r>
      <w:r w:rsidR="00A4753E" w:rsidRPr="003D28C2">
        <w:rPr>
          <w:b/>
          <w:bCs/>
          <w:sz w:val="24"/>
          <w:szCs w:val="24"/>
        </w:rPr>
        <w:t xml:space="preserve">: </w:t>
      </w:r>
      <w:r w:rsidR="00DF21E4">
        <w:rPr>
          <w:b/>
          <w:bCs/>
          <w:sz w:val="24"/>
          <w:szCs w:val="24"/>
        </w:rPr>
        <w:t>1</w:t>
      </w:r>
      <w:r w:rsidR="00F932D8" w:rsidRPr="003D28C2">
        <w:rPr>
          <w:b/>
          <w:bCs/>
          <w:sz w:val="24"/>
          <w:szCs w:val="24"/>
        </w:rPr>
        <w:t xml:space="preserve">2pm – </w:t>
      </w:r>
      <w:r w:rsidR="00DF21E4">
        <w:rPr>
          <w:b/>
          <w:bCs/>
          <w:sz w:val="24"/>
          <w:szCs w:val="24"/>
        </w:rPr>
        <w:t>1.30</w:t>
      </w:r>
      <w:r w:rsidR="00F932D8" w:rsidRPr="003D28C2">
        <w:rPr>
          <w:b/>
          <w:bCs/>
          <w:sz w:val="24"/>
          <w:szCs w:val="24"/>
        </w:rPr>
        <w:t>pm</w:t>
      </w:r>
      <w:r w:rsidR="008152DE" w:rsidRPr="003D28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held virtually </w:t>
      </w:r>
      <w:r w:rsidR="008152DE" w:rsidRPr="003D28C2">
        <w:rPr>
          <w:b/>
          <w:bCs/>
          <w:sz w:val="24"/>
          <w:szCs w:val="24"/>
        </w:rPr>
        <w:t xml:space="preserve">via </w:t>
      </w:r>
      <w:r w:rsidR="001657A9">
        <w:rPr>
          <w:b/>
          <w:bCs/>
          <w:sz w:val="24"/>
          <w:szCs w:val="24"/>
        </w:rPr>
        <w:t xml:space="preserve">MS </w:t>
      </w:r>
      <w:r w:rsidR="008152DE" w:rsidRPr="003D28C2">
        <w:rPr>
          <w:b/>
          <w:bCs/>
          <w:sz w:val="24"/>
          <w:szCs w:val="24"/>
        </w:rPr>
        <w:t>T</w:t>
      </w:r>
      <w:r w:rsidR="001657A9">
        <w:rPr>
          <w:b/>
          <w:bCs/>
          <w:sz w:val="24"/>
          <w:szCs w:val="24"/>
        </w:rPr>
        <w:t>eams</w:t>
      </w:r>
    </w:p>
    <w:p w14:paraId="7571AF2D" w14:textId="77777777" w:rsidR="009D1157" w:rsidRDefault="009D1157" w:rsidP="009D1157">
      <w:pPr>
        <w:pStyle w:val="Heading2"/>
      </w:pPr>
      <w:r w:rsidRPr="00E6471E">
        <w:t>1: Recognition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="00C90D6E" w:rsidRPr="00E6471E" w14:paraId="3900267A" w14:textId="77777777" w:rsidTr="005C63E4">
        <w:trPr>
          <w:trHeight w:val="265"/>
        </w:trPr>
        <w:tc>
          <w:tcPr>
            <w:tcW w:w="1271" w:type="dxa"/>
            <w:shd w:val="clear" w:color="auto" w:fill="DEEAF6" w:themeFill="accent5" w:themeFillTint="33"/>
          </w:tcPr>
          <w:p w14:paraId="1AF2A6EA" w14:textId="35C73E33" w:rsidR="00C90D6E" w:rsidRPr="00E6471E" w:rsidRDefault="009D1157" w:rsidP="00E6471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1.1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7F4E9B66" w14:textId="77777777" w:rsidR="00C90D6E" w:rsidRDefault="00C90D6E" w:rsidP="00E6471E">
            <w:pPr>
              <w:spacing w:before="60" w:after="60"/>
              <w:rPr>
                <w:b/>
                <w:bCs/>
              </w:rPr>
            </w:pPr>
            <w:r w:rsidRPr="00E6471E">
              <w:rPr>
                <w:b/>
                <w:bCs/>
              </w:rPr>
              <w:t>Progress review</w:t>
            </w:r>
          </w:p>
          <w:p w14:paraId="18E90996" w14:textId="3255C8BA" w:rsidR="001657A9" w:rsidRPr="001657A9" w:rsidRDefault="001657A9" w:rsidP="00E6471E">
            <w:pPr>
              <w:spacing w:before="60" w:after="60"/>
            </w:pPr>
            <w:r w:rsidRPr="001657A9">
              <w:t>Led by Chair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14:paraId="69FA0E36" w14:textId="1829EBC5" w:rsidR="00C90D6E" w:rsidRPr="00E6471E" w:rsidRDefault="11EB32D5" w:rsidP="002F5515">
            <w:pPr>
              <w:spacing w:before="60" w:after="60"/>
              <w:rPr>
                <w:b/>
                <w:bCs/>
              </w:rPr>
            </w:pPr>
            <w:r w:rsidRPr="11EB32D5">
              <w:rPr>
                <w:b/>
                <w:bCs/>
              </w:rPr>
              <w:t>Time of item 10 minutes</w:t>
            </w:r>
          </w:p>
        </w:tc>
      </w:tr>
      <w:tr w:rsidR="0004414A" w:rsidRPr="00E6471E" w14:paraId="6FD97CD4" w14:textId="77777777" w:rsidTr="005C63E4">
        <w:trPr>
          <w:trHeight w:val="916"/>
        </w:trPr>
        <w:tc>
          <w:tcPr>
            <w:tcW w:w="1271" w:type="dxa"/>
          </w:tcPr>
          <w:p w14:paraId="55D0EFA2" w14:textId="77777777" w:rsidR="0004414A" w:rsidRPr="00E6471E" w:rsidRDefault="14051217" w:rsidP="14051217">
            <w:pPr>
              <w:spacing w:before="60" w:after="60"/>
              <w:rPr>
                <w:rFonts w:eastAsia="Arial"/>
              </w:rPr>
            </w:pPr>
            <w:r w:rsidRPr="14051217">
              <w:rPr>
                <w:rFonts w:eastAsia="Arial"/>
              </w:rPr>
              <w:t>Description</w:t>
            </w:r>
          </w:p>
        </w:tc>
        <w:tc>
          <w:tcPr>
            <w:tcW w:w="7745" w:type="dxa"/>
            <w:gridSpan w:val="2"/>
          </w:tcPr>
          <w:p w14:paraId="238CE4C4" w14:textId="0BF72133" w:rsidR="00A4753E" w:rsidRPr="001657A9" w:rsidRDefault="14051217" w:rsidP="14051217">
            <w:pPr>
              <w:spacing w:before="60" w:after="60"/>
              <w:rPr>
                <w:rFonts w:eastAsia="Arial"/>
              </w:rPr>
            </w:pPr>
            <w:r w:rsidRPr="001657A9">
              <w:rPr>
                <w:rFonts w:eastAsia="Arial"/>
              </w:rPr>
              <w:t xml:space="preserve">Recommendations agreed at </w:t>
            </w:r>
            <w:r w:rsidR="00DF21E4">
              <w:rPr>
                <w:rFonts w:eastAsia="Arial"/>
              </w:rPr>
              <w:t>previous</w:t>
            </w:r>
            <w:r w:rsidRPr="001657A9">
              <w:rPr>
                <w:rFonts w:eastAsia="Arial"/>
              </w:rPr>
              <w:t xml:space="preserve"> meeting</w:t>
            </w:r>
            <w:r w:rsidR="00DF21E4">
              <w:rPr>
                <w:rFonts w:eastAsia="Arial"/>
              </w:rPr>
              <w:t>s</w:t>
            </w:r>
            <w:r w:rsidRPr="001657A9">
              <w:rPr>
                <w:rFonts w:eastAsia="Arial"/>
              </w:rPr>
              <w:t>:</w:t>
            </w:r>
          </w:p>
          <w:p w14:paraId="09629221" w14:textId="77777777" w:rsidR="00532272" w:rsidRPr="001657A9" w:rsidRDefault="00000000" w:rsidP="009D2FAA">
            <w:pPr>
              <w:numPr>
                <w:ilvl w:val="0"/>
                <w:numId w:val="34"/>
              </w:numPr>
              <w:spacing w:line="252" w:lineRule="auto"/>
              <w:ind w:left="311" w:hanging="283"/>
              <w:contextualSpacing/>
              <w:rPr>
                <w:rFonts w:eastAsia="Times New Roman"/>
              </w:rPr>
            </w:pPr>
            <w:hyperlink r:id="rId7" w:history="1">
              <w:r w:rsidR="00E44C85" w:rsidRPr="001657A9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https://bsac-kaw.co.uk/</w:t>
              </w:r>
            </w:hyperlink>
            <w:r w:rsidR="00E44C85" w:rsidRPr="001657A9">
              <w:rPr>
                <w:rFonts w:eastAsia="Times New Roman"/>
                <w:sz w:val="21"/>
                <w:szCs w:val="21"/>
              </w:rPr>
              <w:t xml:space="preserve"> </w:t>
            </w:r>
            <w:r w:rsidR="00D156A3" w:rsidRPr="001657A9">
              <w:rPr>
                <w:rFonts w:eastAsia="Times New Roman"/>
                <w:i/>
                <w:iCs/>
              </w:rPr>
              <w:t>ACTION – To update</w:t>
            </w:r>
            <w:r w:rsidR="003822BB" w:rsidRPr="001657A9">
              <w:rPr>
                <w:rFonts w:eastAsia="Times New Roman"/>
                <w:i/>
                <w:iCs/>
              </w:rPr>
              <w:t xml:space="preserve"> going forward</w:t>
            </w:r>
          </w:p>
          <w:p w14:paraId="4F1CC318" w14:textId="1B3E4784" w:rsidR="009D2FAA" w:rsidRPr="001657A9" w:rsidRDefault="009D2FAA" w:rsidP="009D2FAA">
            <w:pPr>
              <w:numPr>
                <w:ilvl w:val="0"/>
                <w:numId w:val="34"/>
              </w:numPr>
              <w:spacing w:line="252" w:lineRule="auto"/>
              <w:ind w:left="311" w:hanging="283"/>
              <w:contextualSpacing/>
              <w:rPr>
                <w:rFonts w:eastAsia="Times New Roman"/>
                <w:bCs/>
                <w:i/>
                <w:iCs/>
              </w:rPr>
            </w:pPr>
            <w:r w:rsidRPr="001657A9">
              <w:rPr>
                <w:rFonts w:eastAsia="Times New Roman"/>
                <w:b/>
                <w:i/>
                <w:iCs/>
              </w:rPr>
              <w:t>ACTION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 – Gather further ideas for website and meet with RPS Communications to review</w:t>
            </w:r>
            <w:r w:rsidR="00C21DC4" w:rsidRPr="001657A9">
              <w:rPr>
                <w:rFonts w:eastAsia="Times New Roman"/>
                <w:bCs/>
                <w:i/>
                <w:iCs/>
              </w:rPr>
              <w:t xml:space="preserve"> (WAAW discussion)</w:t>
            </w:r>
          </w:p>
          <w:p w14:paraId="446AC9F9" w14:textId="0DEDA7C1" w:rsidR="00C21DC4" w:rsidRPr="001657A9" w:rsidRDefault="00C21DC4" w:rsidP="00C21DC4">
            <w:pPr>
              <w:numPr>
                <w:ilvl w:val="0"/>
                <w:numId w:val="34"/>
              </w:numPr>
              <w:spacing w:line="252" w:lineRule="auto"/>
              <w:ind w:left="311" w:hanging="283"/>
              <w:contextualSpacing/>
              <w:rPr>
                <w:rFonts w:eastAsia="Times New Roman"/>
                <w:bCs/>
                <w:i/>
                <w:iCs/>
              </w:rPr>
            </w:pPr>
            <w:r w:rsidRPr="001657A9">
              <w:rPr>
                <w:rFonts w:eastAsia="Times New Roman"/>
                <w:b/>
                <w:i/>
                <w:iCs/>
              </w:rPr>
              <w:t>ACTION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 – PD to take forward to National Boards how to improve this and get more impact (WAAW discussion)</w:t>
            </w:r>
          </w:p>
          <w:p w14:paraId="4B860779" w14:textId="0018B4B4" w:rsidR="00DF21E4" w:rsidRPr="001657A9" w:rsidRDefault="00DF21E4" w:rsidP="003F5673">
            <w:pPr>
              <w:spacing w:line="252" w:lineRule="auto"/>
              <w:ind w:left="28"/>
              <w:contextualSpacing/>
              <w:rPr>
                <w:rFonts w:eastAsia="Times New Roman"/>
                <w:b/>
                <w:bCs/>
                <w:i/>
                <w:iCs/>
              </w:rPr>
            </w:pPr>
          </w:p>
        </w:tc>
      </w:tr>
    </w:tbl>
    <w:p w14:paraId="305AC948" w14:textId="313257C6" w:rsidR="00DF21E4" w:rsidRPr="00DF21E4" w:rsidRDefault="00DF21E4" w:rsidP="00DF21E4">
      <w:pPr>
        <w:rPr>
          <w:u w:val="single"/>
        </w:rPr>
      </w:pPr>
      <w:r w:rsidRPr="00DF21E4">
        <w:rPr>
          <w:u w:val="single"/>
        </w:rPr>
        <w:t>Apologies</w:t>
      </w:r>
    </w:p>
    <w:p w14:paraId="2C18097C" w14:textId="112D4249" w:rsidR="00DF21E4" w:rsidRDefault="7624FCDF" w:rsidP="0015301B">
      <w:pPr>
        <w:spacing w:line="240" w:lineRule="auto"/>
      </w:pPr>
      <w:r>
        <w:t xml:space="preserve">Frances Garrahan, Preety Ramdut, Conor Jamieson, Kirsteen Hill, Aaron Brady, </w:t>
      </w:r>
    </w:p>
    <w:p w14:paraId="066FFCA2" w14:textId="59002990" w:rsidR="00DF21E4" w:rsidRDefault="7E405B81" w:rsidP="0015301B">
      <w:pPr>
        <w:spacing w:line="240" w:lineRule="auto"/>
      </w:pPr>
      <w:r>
        <w:t>Alisdair Jones, Jacqueline Sneddon</w:t>
      </w:r>
    </w:p>
    <w:p w14:paraId="7BC83D42" w14:textId="4BE2F786" w:rsidR="00570263" w:rsidRPr="00570263" w:rsidRDefault="7E405B81" w:rsidP="00570263">
      <w:pPr>
        <w:spacing w:line="240" w:lineRule="auto"/>
        <w:rPr>
          <w:u w:val="single"/>
        </w:rPr>
      </w:pPr>
      <w:r w:rsidRPr="7E405B81">
        <w:rPr>
          <w:u w:val="single"/>
        </w:rPr>
        <w:t>Present</w:t>
      </w:r>
    </w:p>
    <w:p w14:paraId="2F8FEF2E" w14:textId="0498FA55" w:rsidR="7E405B81" w:rsidRPr="00570263" w:rsidRDefault="7E405B81" w:rsidP="7E405B81">
      <w:pPr>
        <w:pStyle w:val="Heading2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570263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Mark Gilchrist, Ceri Phillips, Avril Tucker, Louise Dunsmure, Kieran Hand, Geraldine Conlon-Bingham, Philip Howard</w:t>
      </w:r>
    </w:p>
    <w:p w14:paraId="7F879C5B" w14:textId="7215CE63" w:rsidR="7E405B81" w:rsidRDefault="7E405B81" w:rsidP="7E405B81">
      <w:r>
        <w:t>Diane Ashiru-Oredope, Lauren Ross, Rebecca Braybrooks</w:t>
      </w:r>
    </w:p>
    <w:p w14:paraId="5E50B15A" w14:textId="62F915AA" w:rsidR="004130F1" w:rsidRPr="00E6471E" w:rsidRDefault="0004414A" w:rsidP="00E6471E">
      <w:pPr>
        <w:pStyle w:val="Heading2"/>
      </w:pPr>
      <w:r w:rsidRPr="00E6471E">
        <w:t xml:space="preserve">2: </w:t>
      </w:r>
      <w:r w:rsidR="004130F1" w:rsidRPr="00E6471E">
        <w:t>Relevance</w:t>
      </w:r>
    </w:p>
    <w:p w14:paraId="6E81F63C" w14:textId="75AF0D56" w:rsidR="004130F1" w:rsidRPr="00E6471E" w:rsidRDefault="0051027F" w:rsidP="00E6471E">
      <w:pPr>
        <w:rPr>
          <w:i/>
          <w:iCs/>
        </w:rPr>
      </w:pPr>
      <w:r w:rsidRPr="00E6471E">
        <w:rPr>
          <w:i/>
          <w:iCs/>
        </w:rPr>
        <w:t>Consider t</w:t>
      </w:r>
      <w:r w:rsidR="0004414A" w:rsidRPr="00E6471E">
        <w:rPr>
          <w:i/>
          <w:iCs/>
        </w:rPr>
        <w:t xml:space="preserve">abled </w:t>
      </w:r>
      <w:r w:rsidR="00DA48C2" w:rsidRPr="00E6471E">
        <w:rPr>
          <w:i/>
          <w:iCs/>
        </w:rPr>
        <w:t>items, consider future areas of interest</w:t>
      </w:r>
      <w:r w:rsidR="004130F1" w:rsidRPr="00E6471E">
        <w:rPr>
          <w:i/>
          <w:iCs/>
        </w:rPr>
        <w:t xml:space="preserve"> for the next six months</w:t>
      </w:r>
      <w:r w:rsidR="0004414A" w:rsidRPr="00E6471E">
        <w:rPr>
          <w:i/>
          <w:iCs/>
        </w:rPr>
        <w:t xml:space="preserve"> and </w:t>
      </w:r>
      <w:r w:rsidR="00DA48C2" w:rsidRPr="00E6471E">
        <w:rPr>
          <w:i/>
          <w:iCs/>
        </w:rPr>
        <w:t xml:space="preserve">consider longer-term </w:t>
      </w:r>
      <w:r w:rsidR="0004414A" w:rsidRPr="00E6471E">
        <w:rPr>
          <w:i/>
          <w:iCs/>
        </w:rPr>
        <w:t>horizon scanning</w:t>
      </w:r>
      <w:r w:rsidR="00E6471E" w:rsidRPr="00E6471E">
        <w:rPr>
          <w:i/>
          <w:iCs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9"/>
        <w:gridCol w:w="4822"/>
        <w:gridCol w:w="2976"/>
      </w:tblGrid>
      <w:tr w:rsidR="00C90D6E" w:rsidRPr="00E6471E" w14:paraId="17DFFA80" w14:textId="77777777" w:rsidTr="42D31C31">
        <w:trPr>
          <w:trHeight w:val="735"/>
        </w:trPr>
        <w:tc>
          <w:tcPr>
            <w:tcW w:w="1269" w:type="dxa"/>
            <w:shd w:val="clear" w:color="auto" w:fill="DEEAF6" w:themeFill="accent5" w:themeFillTint="33"/>
          </w:tcPr>
          <w:p w14:paraId="5DFE9F7E" w14:textId="3ACD43C7" w:rsidR="00C90D6E" w:rsidRPr="00E6471E" w:rsidRDefault="009D1157" w:rsidP="00E6471E">
            <w:pPr>
              <w:spacing w:before="60" w:after="60"/>
              <w:rPr>
                <w:b/>
                <w:bCs/>
              </w:rPr>
            </w:pPr>
            <w:bookmarkStart w:id="0" w:name="_Hlk113444724"/>
            <w:bookmarkStart w:id="1" w:name="_Hlk113444880"/>
            <w:r>
              <w:rPr>
                <w:b/>
                <w:bCs/>
              </w:rPr>
              <w:t>Item 2.1</w:t>
            </w:r>
          </w:p>
        </w:tc>
        <w:tc>
          <w:tcPr>
            <w:tcW w:w="4822" w:type="dxa"/>
            <w:shd w:val="clear" w:color="auto" w:fill="DEEAF6" w:themeFill="accent5" w:themeFillTint="33"/>
          </w:tcPr>
          <w:p w14:paraId="5B6BBBAF" w14:textId="346F0F44" w:rsidR="00C90D6E" w:rsidRPr="00977BBC" w:rsidRDefault="14051217" w:rsidP="14051217">
            <w:pPr>
              <w:spacing w:before="60" w:after="60"/>
              <w:rPr>
                <w:b/>
                <w:bCs/>
              </w:rPr>
            </w:pPr>
            <w:r w:rsidRPr="14051217">
              <w:rPr>
                <w:b/>
                <w:bCs/>
              </w:rPr>
              <w:t xml:space="preserve">Welcome </w:t>
            </w:r>
          </w:p>
          <w:p w14:paraId="5F1BC1D2" w14:textId="6D76161E" w:rsidR="00C90D6E" w:rsidRPr="00977BBC" w:rsidRDefault="14051217" w:rsidP="14051217">
            <w:pPr>
              <w:spacing w:before="60" w:after="60"/>
              <w:rPr>
                <w:rFonts w:eastAsia="Calibri"/>
              </w:rPr>
            </w:pPr>
            <w:r w:rsidRPr="14051217">
              <w:rPr>
                <w:rFonts w:eastAsia="Calibri"/>
              </w:rPr>
              <w:t xml:space="preserve">Led by </w:t>
            </w:r>
            <w:r w:rsidR="00D5412D">
              <w:rPr>
                <w:rFonts w:eastAsia="Calibri"/>
              </w:rPr>
              <w:t xml:space="preserve">Chair 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14:paraId="0C399399" w14:textId="0D84D157" w:rsidR="00C90D6E" w:rsidRPr="00977BBC" w:rsidRDefault="00F21F28" w:rsidP="11EB32D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11EB32D5" w:rsidRPr="11EB32D5">
              <w:rPr>
                <w:b/>
                <w:bCs/>
              </w:rPr>
              <w:t xml:space="preserve"> minutes</w:t>
            </w:r>
          </w:p>
        </w:tc>
      </w:tr>
      <w:bookmarkEnd w:id="0"/>
      <w:bookmarkEnd w:id="1"/>
      <w:tr w:rsidR="0098047E" w:rsidRPr="00E6471E" w14:paraId="184E1BC4" w14:textId="77777777" w:rsidTr="42D31C31">
        <w:trPr>
          <w:trHeight w:val="386"/>
        </w:trPr>
        <w:tc>
          <w:tcPr>
            <w:tcW w:w="1269" w:type="dxa"/>
          </w:tcPr>
          <w:p w14:paraId="255F25C2" w14:textId="73DC0000" w:rsidR="0098047E" w:rsidRPr="009D1157" w:rsidRDefault="0098047E" w:rsidP="009D1157">
            <w:pPr>
              <w:spacing w:before="60" w:after="60"/>
            </w:pPr>
            <w:r w:rsidRPr="009D1157">
              <w:t>Purpose</w:t>
            </w:r>
          </w:p>
        </w:tc>
        <w:tc>
          <w:tcPr>
            <w:tcW w:w="7798" w:type="dxa"/>
            <w:gridSpan w:val="2"/>
          </w:tcPr>
          <w:p w14:paraId="4E384B8F" w14:textId="6D421ED4" w:rsidR="00070AD6" w:rsidRPr="00E6471E" w:rsidRDefault="11EB32D5" w:rsidP="009D1157">
            <w:pPr>
              <w:spacing w:before="60" w:after="60"/>
            </w:pPr>
            <w:r>
              <w:t xml:space="preserve">To </w:t>
            </w:r>
            <w:r w:rsidR="00CA32E9">
              <w:t>welcome all,</w:t>
            </w:r>
            <w:r w:rsidR="00972EF9">
              <w:t xml:space="preserve"> approve previous meeting outcomes</w:t>
            </w:r>
            <w:r w:rsidR="00CA32E9">
              <w:t xml:space="preserve"> and outline meeting.</w:t>
            </w:r>
          </w:p>
        </w:tc>
      </w:tr>
      <w:tr w:rsidR="7624FCDF" w14:paraId="6910B51A" w14:textId="77777777" w:rsidTr="42D31C31">
        <w:trPr>
          <w:trHeight w:val="386"/>
        </w:trPr>
        <w:tc>
          <w:tcPr>
            <w:tcW w:w="1269" w:type="dxa"/>
          </w:tcPr>
          <w:p w14:paraId="18D33143" w14:textId="2A0FC3E7" w:rsidR="7624FCDF" w:rsidRDefault="7624FCDF" w:rsidP="7624FCDF">
            <w:r>
              <w:t>Outcome</w:t>
            </w:r>
          </w:p>
        </w:tc>
        <w:tc>
          <w:tcPr>
            <w:tcW w:w="7798" w:type="dxa"/>
            <w:gridSpan w:val="2"/>
          </w:tcPr>
          <w:p w14:paraId="085A5A1F" w14:textId="18054BEA" w:rsidR="7624FCDF" w:rsidRDefault="42D31C31" w:rsidP="7624FCDF">
            <w:r>
              <w:t>Confirmed last meeting minutes.</w:t>
            </w:r>
          </w:p>
          <w:p w14:paraId="4028B71B" w14:textId="54BA1B32" w:rsidR="7624FCDF" w:rsidRDefault="42D31C31" w:rsidP="7624FCDF">
            <w:r>
              <w:t>Review and capture where we are for AmEAG.</w:t>
            </w:r>
          </w:p>
        </w:tc>
      </w:tr>
    </w:tbl>
    <w:p w14:paraId="6305768C" w14:textId="021EFD42" w:rsidR="00E44C85" w:rsidRDefault="00E44C85" w:rsidP="00E647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="00330EA6" w:rsidRPr="00E6471E" w14:paraId="1ECC823A" w14:textId="77777777" w:rsidTr="36296273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14:paraId="6FDD7C9E" w14:textId="77777777" w:rsidR="00330EA6" w:rsidRPr="00E6471E" w:rsidRDefault="00330EA6" w:rsidP="00B62FA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2.2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43699F37" w14:textId="23185706" w:rsidR="00D5412D" w:rsidRPr="002A5D8D" w:rsidRDefault="002A5D8D" w:rsidP="00B62FA8">
            <w:pPr>
              <w:spacing w:before="60" w:after="60"/>
              <w:rPr>
                <w:b/>
                <w:bCs/>
              </w:rPr>
            </w:pPr>
            <w:r w:rsidRPr="002A5D8D">
              <w:rPr>
                <w:b/>
                <w:bCs/>
              </w:rPr>
              <w:t xml:space="preserve">AMEAG updates 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14:paraId="460DE9BB" w14:textId="6790AB65" w:rsidR="00330EA6" w:rsidRPr="00977BBC" w:rsidRDefault="00330EA6" w:rsidP="002A5D8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A5D8D">
              <w:rPr>
                <w:b/>
                <w:bCs/>
              </w:rPr>
              <w:t>3</w:t>
            </w:r>
            <w:r w:rsidR="00906800">
              <w:rPr>
                <w:b/>
                <w:bCs/>
              </w:rPr>
              <w:t>0</w:t>
            </w:r>
            <w:r w:rsidR="002A5D8D">
              <w:rPr>
                <w:b/>
                <w:bCs/>
              </w:rPr>
              <w:t>-40</w:t>
            </w:r>
            <w:r w:rsidR="009068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minutes</w:t>
            </w:r>
          </w:p>
        </w:tc>
      </w:tr>
      <w:tr w:rsidR="00330EA6" w:rsidRPr="00E6471E" w14:paraId="391BC3CD" w14:textId="77777777" w:rsidTr="36296273">
        <w:trPr>
          <w:trHeight w:val="70"/>
        </w:trPr>
        <w:tc>
          <w:tcPr>
            <w:tcW w:w="1271" w:type="dxa"/>
          </w:tcPr>
          <w:p w14:paraId="26ACB600" w14:textId="77777777" w:rsidR="00330EA6" w:rsidRPr="00E6471E" w:rsidRDefault="00330EA6" w:rsidP="00B62FA8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14:paraId="7FC7E40F" w14:textId="77777777" w:rsidR="00F84F99" w:rsidRDefault="002A5D8D" w:rsidP="002A5D8D">
            <w:pPr>
              <w:pStyle w:val="ListParagraph"/>
              <w:spacing w:before="60" w:after="60"/>
              <w:ind w:left="28"/>
            </w:pPr>
            <w:r>
              <w:t>To celebrate the key milestones over the last 2 years</w:t>
            </w:r>
          </w:p>
          <w:p w14:paraId="7F9ADC96" w14:textId="77777777" w:rsidR="002A5D8D" w:rsidRDefault="002A5D8D" w:rsidP="002A5D8D">
            <w:pPr>
              <w:pStyle w:val="ListParagraph"/>
              <w:spacing w:before="60" w:after="60"/>
              <w:ind w:left="28"/>
            </w:pPr>
            <w:r>
              <w:t>To discuss current priorities of the group</w:t>
            </w:r>
          </w:p>
          <w:p w14:paraId="7EF5DC92" w14:textId="0B47DD37" w:rsidR="002A5D8D" w:rsidRPr="00E6471E" w:rsidRDefault="002A5D8D" w:rsidP="002A5D8D">
            <w:pPr>
              <w:pStyle w:val="ListParagraph"/>
              <w:spacing w:before="60" w:after="60"/>
              <w:ind w:left="28"/>
            </w:pPr>
            <w:r>
              <w:t>To pause and reflect on next steps</w:t>
            </w:r>
          </w:p>
        </w:tc>
      </w:tr>
      <w:tr w:rsidR="7624FCDF" w14:paraId="3F7B0BF2" w14:textId="77777777" w:rsidTr="36296273">
        <w:trPr>
          <w:trHeight w:val="70"/>
        </w:trPr>
        <w:tc>
          <w:tcPr>
            <w:tcW w:w="1271" w:type="dxa"/>
          </w:tcPr>
          <w:p w14:paraId="171EDC9F" w14:textId="5E66DA72" w:rsidR="7624FCDF" w:rsidRDefault="7624FCDF" w:rsidP="7624FCDF">
            <w:r>
              <w:t>Outcome</w:t>
            </w:r>
          </w:p>
        </w:tc>
        <w:tc>
          <w:tcPr>
            <w:tcW w:w="7745" w:type="dxa"/>
            <w:gridSpan w:val="2"/>
          </w:tcPr>
          <w:p w14:paraId="47063F46" w14:textId="458F415D" w:rsidR="42D31C31" w:rsidRDefault="42D31C31" w:rsidP="42D31C31">
            <w:pPr>
              <w:pStyle w:val="ListParagraph"/>
              <w:ind w:left="0"/>
            </w:pPr>
            <w:r>
              <w:t>Key milestones:</w:t>
            </w:r>
          </w:p>
          <w:p w14:paraId="72FEA6E5" w14:textId="5184D9C8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t>RPS website – launch antibiotic resource centre</w:t>
            </w:r>
          </w:p>
          <w:p w14:paraId="1D4FD364" w14:textId="3FCA3913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t xml:space="preserve">Promote a multilingual antibiotic </w:t>
            </w:r>
            <w:r w:rsidR="00DB2480">
              <w:t>amnesty</w:t>
            </w:r>
            <w:r>
              <w:t xml:space="preserve"> resource campaign</w:t>
            </w:r>
          </w:p>
          <w:p w14:paraId="2246AC92" w14:textId="3135689A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t>FIP reinstatement via letter of support</w:t>
            </w:r>
          </w:p>
          <w:p w14:paraId="3E9EAF7B" w14:textId="1443361A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t>Joint statement with leading infection society around antimicrobial stewardship in virtual wards</w:t>
            </w:r>
          </w:p>
          <w:p w14:paraId="5431279D" w14:textId="06323839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t>Numerous information blogs</w:t>
            </w:r>
          </w:p>
          <w:p w14:paraId="49AF1155" w14:textId="31A57803" w:rsidR="00570263" w:rsidRDefault="056FF868" w:rsidP="00570263">
            <w:pPr>
              <w:pStyle w:val="ListParagraph"/>
              <w:numPr>
                <w:ilvl w:val="0"/>
                <w:numId w:val="1"/>
              </w:numPr>
            </w:pPr>
            <w:r>
              <w:t>Strengthening of relationships between RPS comms team</w:t>
            </w:r>
          </w:p>
          <w:p w14:paraId="012F0995" w14:textId="7E752C9F" w:rsidR="7624FCDF" w:rsidRDefault="42D31C31" w:rsidP="00DB248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Demystifying pen allergy labels</w:t>
            </w:r>
          </w:p>
          <w:p w14:paraId="2D263447" w14:textId="79023EFF" w:rsidR="7624FCDF" w:rsidRDefault="056FF868" w:rsidP="00DB2480">
            <w:pPr>
              <w:pStyle w:val="ListParagraph"/>
              <w:numPr>
                <w:ilvl w:val="0"/>
                <w:numId w:val="1"/>
              </w:numPr>
            </w:pPr>
            <w:r>
              <w:t xml:space="preserve">FIP case study – </w:t>
            </w:r>
            <w:r w:rsidR="00DB2480">
              <w:t>penicillin</w:t>
            </w:r>
            <w:r>
              <w:t xml:space="preserve"> allergy labels</w:t>
            </w:r>
          </w:p>
          <w:p w14:paraId="484957E1" w14:textId="193ABB25" w:rsidR="7624FCDF" w:rsidRDefault="7624FCDF" w:rsidP="7624FCDF">
            <w:pPr>
              <w:pStyle w:val="ListParagraph"/>
            </w:pPr>
          </w:p>
          <w:p w14:paraId="7EFF545D" w14:textId="514159A4" w:rsidR="7624FCDF" w:rsidRDefault="00DB2480" w:rsidP="3FB9F30C">
            <w:pPr>
              <w:pStyle w:val="ListParagraph"/>
              <w:ind w:left="0"/>
            </w:pPr>
            <w:r>
              <w:t xml:space="preserve">The </w:t>
            </w:r>
            <w:r w:rsidR="20A69D0F">
              <w:t xml:space="preserve">Chair thanked the group for all their </w:t>
            </w:r>
            <w:r>
              <w:t>hard work</w:t>
            </w:r>
            <w:r w:rsidR="20A69D0F">
              <w:t xml:space="preserve"> over the</w:t>
            </w:r>
            <w:r>
              <w:t xml:space="preserve"> last couple of</w:t>
            </w:r>
            <w:r w:rsidR="20A69D0F">
              <w:t xml:space="preserve"> years </w:t>
            </w:r>
            <w:r w:rsidR="0032776E">
              <w:t>but</w:t>
            </w:r>
            <w:r w:rsidR="20A69D0F">
              <w:t xml:space="preserve"> noted there were some challenges faced around topics including Strep infection work and Pharmacy First.</w:t>
            </w:r>
          </w:p>
          <w:p w14:paraId="028F2544" w14:textId="71D4188F" w:rsidR="056FF868" w:rsidRDefault="056FF868" w:rsidP="056FF868">
            <w:pPr>
              <w:pStyle w:val="ListParagraph"/>
            </w:pPr>
          </w:p>
          <w:p w14:paraId="07543B77" w14:textId="2CFB4D2F" w:rsidR="7624FCDF" w:rsidRDefault="00DB2480" w:rsidP="3FB9F30C">
            <w:pPr>
              <w:pStyle w:val="ListParagraph"/>
              <w:ind w:left="0"/>
            </w:pPr>
            <w:r>
              <w:t xml:space="preserve">A look into the future of the AmEAG -- </w:t>
            </w:r>
            <w:r w:rsidR="3FB9F30C">
              <w:t>What would we like to do with the group? Where would we like it to go?</w:t>
            </w:r>
          </w:p>
          <w:p w14:paraId="7F4C2C05" w14:textId="2713151D" w:rsidR="7624FCDF" w:rsidRDefault="7624FCDF" w:rsidP="7624FCDF">
            <w:pPr>
              <w:pStyle w:val="ListParagraph"/>
            </w:pPr>
          </w:p>
          <w:p w14:paraId="14BA8D09" w14:textId="6793C20C" w:rsidR="592066CC" w:rsidRDefault="36296273" w:rsidP="3FB9F30C">
            <w:pPr>
              <w:pStyle w:val="ListParagraph"/>
              <w:ind w:left="0"/>
            </w:pPr>
            <w:r>
              <w:t>On reflection the task and finish/ small working group approach has been</w:t>
            </w:r>
            <w:r w:rsidR="006D65A3">
              <w:t xml:space="preserve"> very</w:t>
            </w:r>
            <w:r>
              <w:t xml:space="preserve"> good, it has shared the work across the group and outputs have been positive. Challenges </w:t>
            </w:r>
            <w:r w:rsidR="00FF6C86">
              <w:t xml:space="preserve">faced have been </w:t>
            </w:r>
            <w:r>
              <w:t>around sharing information – between group and RPS</w:t>
            </w:r>
            <w:r w:rsidR="006D65A3">
              <w:t xml:space="preserve"> and s</w:t>
            </w:r>
            <w:r w:rsidR="3FB9F30C">
              <w:t>trengthen connectivity across devolved nations</w:t>
            </w:r>
            <w:r w:rsidR="006D65A3">
              <w:t>.</w:t>
            </w:r>
          </w:p>
          <w:p w14:paraId="2A7E2A76" w14:textId="2C664243" w:rsidR="7624FCDF" w:rsidRDefault="7624FCDF" w:rsidP="7624FCDF">
            <w:pPr>
              <w:pStyle w:val="ListParagraph"/>
            </w:pPr>
          </w:p>
          <w:p w14:paraId="6EC78912" w14:textId="386EC0E7" w:rsidR="7624FCDF" w:rsidRPr="003F5673" w:rsidRDefault="006D65A3" w:rsidP="3FB9F30C">
            <w:pPr>
              <w:pStyle w:val="ListParagraph"/>
              <w:ind w:left="0"/>
            </w:pPr>
            <w:r>
              <w:t xml:space="preserve">The Chair announced he will be stepping down, he will be staying on until a new Chair is announced. </w:t>
            </w:r>
            <w:r w:rsidR="00F32C59">
              <w:t>Membership terms will be refreshed in time, RPS will lead on this process.</w:t>
            </w:r>
          </w:p>
          <w:p w14:paraId="417A4457" w14:textId="3ACC9103" w:rsidR="7624FCDF" w:rsidRDefault="7624FCDF" w:rsidP="7624FCDF">
            <w:pPr>
              <w:pStyle w:val="ListParagraph"/>
            </w:pPr>
          </w:p>
          <w:p w14:paraId="2FEE8CE7" w14:textId="4786C397" w:rsidR="7624FCDF" w:rsidRDefault="00864DB1" w:rsidP="3FB9F30C">
            <w:pPr>
              <w:pStyle w:val="ListParagraph"/>
              <w:ind w:left="0"/>
            </w:pPr>
            <w:r>
              <w:t xml:space="preserve">AmEAG </w:t>
            </w:r>
            <w:r w:rsidR="3FB9F30C">
              <w:t>Chair invite</w:t>
            </w:r>
            <w:r>
              <w:t>d</w:t>
            </w:r>
            <w:r w:rsidR="3FB9F30C">
              <w:t xml:space="preserve"> to S</w:t>
            </w:r>
            <w:r>
              <w:t xml:space="preserve">cience &amp; </w:t>
            </w:r>
            <w:r w:rsidR="3FB9F30C">
              <w:t>R</w:t>
            </w:r>
            <w:r>
              <w:t>esearch Committee (SRC)</w:t>
            </w:r>
            <w:r w:rsidR="3FB9F30C">
              <w:t xml:space="preserve">, </w:t>
            </w:r>
            <w:r>
              <w:t xml:space="preserve">AmEAG is formally </w:t>
            </w:r>
            <w:r w:rsidR="3FB9F30C">
              <w:t xml:space="preserve">linked to SRC </w:t>
            </w:r>
            <w:r>
              <w:t>– the</w:t>
            </w:r>
            <w:r w:rsidR="3FB9F30C">
              <w:t xml:space="preserve"> outputs</w:t>
            </w:r>
            <w:r w:rsidR="00F32C59">
              <w:t xml:space="preserve"> of AmEAG </w:t>
            </w:r>
            <w:r w:rsidR="3FB9F30C">
              <w:t>go into Board reports</w:t>
            </w:r>
            <w:r>
              <w:t xml:space="preserve"> that feed into the Assembly.</w:t>
            </w:r>
          </w:p>
          <w:p w14:paraId="6E5053DB" w14:textId="1E393583" w:rsidR="7624FCDF" w:rsidRDefault="7624FCDF" w:rsidP="7624FCDF">
            <w:pPr>
              <w:pStyle w:val="ListParagraph"/>
            </w:pPr>
          </w:p>
          <w:p w14:paraId="0F4DC200" w14:textId="794BC481" w:rsidR="7624FCDF" w:rsidRDefault="3FB9F30C" w:rsidP="0032776E">
            <w:pPr>
              <w:pStyle w:val="ListParagraph"/>
              <w:ind w:left="0"/>
            </w:pPr>
            <w:r>
              <w:t xml:space="preserve">MG </w:t>
            </w:r>
            <w:r w:rsidR="00ED615E">
              <w:t>to hold an</w:t>
            </w:r>
            <w:r>
              <w:t xml:space="preserve"> EAG discussion with P</w:t>
            </w:r>
            <w:r w:rsidR="0032776E">
              <w:t>D</w:t>
            </w:r>
            <w:r w:rsidR="00ED615E">
              <w:t xml:space="preserve"> in the coming weeks.</w:t>
            </w:r>
          </w:p>
        </w:tc>
      </w:tr>
    </w:tbl>
    <w:p w14:paraId="21840025" w14:textId="77777777" w:rsidR="0055032F" w:rsidRDefault="0055032F" w:rsidP="00E647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="00D5412D" w:rsidRPr="00E6471E" w14:paraId="366FD974" w14:textId="77777777" w:rsidTr="3FB9F30C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14:paraId="2DDAFF8F" w14:textId="16ECA949" w:rsidR="00D5412D" w:rsidRPr="00E6471E" w:rsidRDefault="00D5412D" w:rsidP="002A5D8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</w:t>
            </w:r>
            <w:r w:rsidR="002A5D8D">
              <w:rPr>
                <w:b/>
                <w:bCs/>
              </w:rPr>
              <w:t>3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06701E10" w14:textId="77777777" w:rsidR="00D5412D" w:rsidRDefault="001C0DED" w:rsidP="00CB01C1">
            <w:pPr>
              <w:spacing w:before="60" w:after="60"/>
              <w:rPr>
                <w:b/>
                <w:bCs/>
              </w:rPr>
            </w:pPr>
            <w:r w:rsidRPr="0015301B">
              <w:rPr>
                <w:b/>
                <w:bCs/>
              </w:rPr>
              <w:t>RPS Update</w:t>
            </w:r>
            <w:r w:rsidR="00485597" w:rsidRPr="0015301B">
              <w:rPr>
                <w:b/>
                <w:bCs/>
              </w:rPr>
              <w:t>s</w:t>
            </w:r>
          </w:p>
          <w:p w14:paraId="7DCE3402" w14:textId="1D0BF36E" w:rsidR="0015301B" w:rsidRPr="0015301B" w:rsidRDefault="0015301B" w:rsidP="00CB01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Led by 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14:paraId="6AAE2935" w14:textId="11BF66CE" w:rsidR="00D5412D" w:rsidRPr="00E6471E" w:rsidRDefault="00906800" w:rsidP="00CB01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D5412D">
              <w:rPr>
                <w:b/>
                <w:bCs/>
              </w:rPr>
              <w:t xml:space="preserve"> minutes</w:t>
            </w:r>
          </w:p>
        </w:tc>
      </w:tr>
      <w:tr w:rsidR="00D5412D" w:rsidRPr="00E6471E" w14:paraId="08435C13" w14:textId="77777777" w:rsidTr="3FB9F30C">
        <w:trPr>
          <w:trHeight w:val="70"/>
        </w:trPr>
        <w:tc>
          <w:tcPr>
            <w:tcW w:w="1271" w:type="dxa"/>
          </w:tcPr>
          <w:p w14:paraId="7BF61300" w14:textId="77777777" w:rsidR="00D5412D" w:rsidRPr="00E6471E" w:rsidRDefault="00D5412D" w:rsidP="00CB01C1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14:paraId="2A43DB5E" w14:textId="14F24B69" w:rsidR="00DF21E4" w:rsidRPr="0015301B" w:rsidRDefault="001C0DED" w:rsidP="00DF21E4">
            <w:pPr>
              <w:spacing w:before="60" w:after="60"/>
            </w:pPr>
            <w:r>
              <w:t xml:space="preserve">To receive an update </w:t>
            </w:r>
            <w:r w:rsidR="00DF21E4">
              <w:t xml:space="preserve">from </w:t>
            </w:r>
            <w:r w:rsidR="0015301B">
              <w:t xml:space="preserve">RPS </w:t>
            </w:r>
            <w:r w:rsidR="00DF21E4">
              <w:t>S</w:t>
            </w:r>
            <w:r w:rsidR="0015301B">
              <w:t xml:space="preserve">cience &amp; </w:t>
            </w:r>
            <w:r w:rsidR="00DF21E4">
              <w:t>R</w:t>
            </w:r>
            <w:r w:rsidR="0015301B">
              <w:t xml:space="preserve">esearch </w:t>
            </w:r>
            <w:r w:rsidR="00DF21E4">
              <w:t>T</w:t>
            </w:r>
            <w:r w:rsidR="0015301B">
              <w:t>eam (RPS SRT)</w:t>
            </w:r>
          </w:p>
        </w:tc>
      </w:tr>
      <w:tr w:rsidR="7624FCDF" w14:paraId="499A793C" w14:textId="77777777" w:rsidTr="3FB9F30C">
        <w:trPr>
          <w:trHeight w:val="70"/>
        </w:trPr>
        <w:tc>
          <w:tcPr>
            <w:tcW w:w="1271" w:type="dxa"/>
          </w:tcPr>
          <w:p w14:paraId="650C31EC" w14:textId="55CC63AC" w:rsidR="7624FCDF" w:rsidRDefault="7624FCDF" w:rsidP="7624FCDF">
            <w:r>
              <w:t>Outcome</w:t>
            </w:r>
          </w:p>
        </w:tc>
        <w:tc>
          <w:tcPr>
            <w:tcW w:w="7745" w:type="dxa"/>
            <w:gridSpan w:val="2"/>
          </w:tcPr>
          <w:p w14:paraId="2E1B2F69" w14:textId="7B8A4438" w:rsidR="7624FCDF" w:rsidRDefault="0201ED30" w:rsidP="7624FCDF">
            <w:r>
              <w:t xml:space="preserve">DAO – evidence </w:t>
            </w:r>
            <w:r w:rsidR="00ED615E">
              <w:t>of</w:t>
            </w:r>
            <w:r>
              <w:t xml:space="preserve"> science in the profession in practice (science underpins what pharmacy does) </w:t>
            </w:r>
            <w:r w:rsidR="00ED615E">
              <w:t xml:space="preserve">, wanting to publish the write up as a </w:t>
            </w:r>
            <w:r>
              <w:t>matter for public record on use of science in pharmacy practice throughout the covid pandemic as presented by DAO in 2022.</w:t>
            </w:r>
          </w:p>
          <w:p w14:paraId="7EFAD3D4" w14:textId="6F6851D1" w:rsidR="0201ED30" w:rsidRDefault="0201ED30" w:rsidP="0201ED30">
            <w:r>
              <w:t>Case series project</w:t>
            </w:r>
            <w:r w:rsidR="00864DB1">
              <w:t xml:space="preserve"> to follow the write up.</w:t>
            </w:r>
          </w:p>
          <w:p w14:paraId="61B427B4" w14:textId="66BB0283" w:rsidR="7624FCDF" w:rsidRDefault="6EE6F334" w:rsidP="7624FCDF">
            <w:r>
              <w:t>SRC – working group</w:t>
            </w:r>
            <w:r w:rsidR="00ED615E">
              <w:t xml:space="preserve"> on</w:t>
            </w:r>
            <w:r>
              <w:t xml:space="preserve"> </w:t>
            </w:r>
            <w:r w:rsidR="00ED615E">
              <w:t>Safer M</w:t>
            </w:r>
            <w:r>
              <w:t>ed</w:t>
            </w:r>
            <w:r w:rsidR="00ED615E">
              <w:t>icine</w:t>
            </w:r>
            <w:r>
              <w:t xml:space="preserve">s </w:t>
            </w:r>
            <w:r w:rsidR="00ED615E">
              <w:t>&amp; Safer Medicines Usage</w:t>
            </w:r>
            <w:r>
              <w:t>, asking to coopt members to this working group</w:t>
            </w:r>
            <w:r w:rsidR="00864DB1">
              <w:t xml:space="preserve"> (later date) </w:t>
            </w:r>
          </w:p>
          <w:p w14:paraId="6A3989E3" w14:textId="0841B9B9" w:rsidR="7624FCDF" w:rsidRDefault="00ED615E" w:rsidP="7624FCDF">
            <w:r>
              <w:t>AmEAG asked:</w:t>
            </w:r>
          </w:p>
          <w:p w14:paraId="73990B1B" w14:textId="36388A0B" w:rsidR="7624FCDF" w:rsidRDefault="6EE6F334" w:rsidP="7624FCDF">
            <w:r>
              <w:t xml:space="preserve">How do you think you use science </w:t>
            </w:r>
            <w:r w:rsidR="00864DB1">
              <w:t>with</w:t>
            </w:r>
            <w:r>
              <w:t>in your day to day</w:t>
            </w:r>
            <w:r w:rsidR="00864DB1">
              <w:t xml:space="preserve"> practice</w:t>
            </w:r>
            <w:r>
              <w:t>?</w:t>
            </w:r>
          </w:p>
          <w:p w14:paraId="32F132EF" w14:textId="1083F27C" w:rsidR="7624FCDF" w:rsidRDefault="6EE6F334" w:rsidP="7624FCDF">
            <w:r>
              <w:t>Clinical or checking, do you see the science</w:t>
            </w:r>
            <w:r w:rsidR="00864DB1">
              <w:t xml:space="preserve"> within what you do.</w:t>
            </w:r>
          </w:p>
          <w:p w14:paraId="7052D001" w14:textId="77777777" w:rsidR="00ED615E" w:rsidRDefault="00864DB1" w:rsidP="7624FCDF">
            <w:r>
              <w:t>Example</w:t>
            </w:r>
            <w:r w:rsidR="00ED615E">
              <w:t>s</w:t>
            </w:r>
            <w:r>
              <w:t xml:space="preserve"> would be</w:t>
            </w:r>
            <w:r w:rsidR="00ED615E">
              <w:t>:</w:t>
            </w:r>
          </w:p>
          <w:p w14:paraId="3402AD47" w14:textId="13AEA52F" w:rsidR="00ED615E" w:rsidRDefault="00ED615E" w:rsidP="00ED615E">
            <w:pPr>
              <w:pStyle w:val="ListParagraph"/>
              <w:numPr>
                <w:ilvl w:val="0"/>
                <w:numId w:val="46"/>
              </w:numPr>
            </w:pPr>
            <w:r>
              <w:t>Consults on the ward/ telephone conversations for each patient.</w:t>
            </w:r>
          </w:p>
          <w:p w14:paraId="5BC027F0" w14:textId="151CD11B" w:rsidR="7624FCDF" w:rsidRDefault="00ED615E" w:rsidP="00ED615E">
            <w:pPr>
              <w:pStyle w:val="ListParagraph"/>
              <w:numPr>
                <w:ilvl w:val="0"/>
                <w:numId w:val="46"/>
              </w:numPr>
            </w:pPr>
            <w:r>
              <w:t>I</w:t>
            </w:r>
            <w:r w:rsidR="6EE6F334">
              <w:t>nterventions that affect clinical care based on solid</w:t>
            </w:r>
            <w:r w:rsidR="00864DB1">
              <w:t>,</w:t>
            </w:r>
            <w:r w:rsidR="6EE6F334">
              <w:t xml:space="preserve"> evidence based science</w:t>
            </w:r>
            <w:r w:rsidR="00864DB1">
              <w:t>.</w:t>
            </w:r>
          </w:p>
          <w:p w14:paraId="5E5E26A4" w14:textId="01B24425" w:rsidR="7624FCDF" w:rsidRDefault="2179EF45" w:rsidP="7624FCDF">
            <w:r>
              <w:t>Blog from AmEAG</w:t>
            </w:r>
            <w:r w:rsidR="00864DB1">
              <w:t xml:space="preserve"> might be a good output</w:t>
            </w:r>
            <w:r w:rsidR="00ED615E">
              <w:t xml:space="preserve"> by the Summer.</w:t>
            </w:r>
          </w:p>
          <w:p w14:paraId="74D6C0DF" w14:textId="77777777" w:rsidR="008420D7" w:rsidRDefault="008420D7" w:rsidP="7624FCDF"/>
          <w:p w14:paraId="2921EF26" w14:textId="26B9318F" w:rsidR="7624FCDF" w:rsidRDefault="3FB9F30C" w:rsidP="3FB9F30C">
            <w:pPr>
              <w:rPr>
                <w:b/>
                <w:bCs/>
              </w:rPr>
            </w:pPr>
            <w:r w:rsidRPr="3FB9F30C">
              <w:rPr>
                <w:b/>
                <w:bCs/>
              </w:rPr>
              <w:t>ACTION –</w:t>
            </w:r>
            <w:r w:rsidR="00ED615E">
              <w:rPr>
                <w:b/>
                <w:bCs/>
              </w:rPr>
              <w:t xml:space="preserve"> email AmEAG for</w:t>
            </w:r>
            <w:r w:rsidRPr="3FB9F30C">
              <w:rPr>
                <w:b/>
                <w:bCs/>
              </w:rPr>
              <w:t xml:space="preserve"> anyone interested to join SRC working group on med</w:t>
            </w:r>
            <w:r w:rsidR="008420D7">
              <w:rPr>
                <w:b/>
                <w:bCs/>
              </w:rPr>
              <w:t>icine</w:t>
            </w:r>
            <w:r w:rsidRPr="3FB9F30C">
              <w:rPr>
                <w:b/>
                <w:bCs/>
              </w:rPr>
              <w:t xml:space="preserve">s safety </w:t>
            </w:r>
            <w:r w:rsidR="00ED615E">
              <w:rPr>
                <w:b/>
                <w:bCs/>
              </w:rPr>
              <w:t>(</w:t>
            </w:r>
            <w:r w:rsidRPr="3FB9F30C">
              <w:rPr>
                <w:b/>
                <w:bCs/>
              </w:rPr>
              <w:t xml:space="preserve">first </w:t>
            </w:r>
            <w:r w:rsidR="008420D7">
              <w:rPr>
                <w:b/>
                <w:bCs/>
              </w:rPr>
              <w:t>working group</w:t>
            </w:r>
            <w:r w:rsidRPr="3FB9F30C">
              <w:rPr>
                <w:b/>
                <w:bCs/>
              </w:rPr>
              <w:t xml:space="preserve"> meeting 4</w:t>
            </w:r>
            <w:r w:rsidRPr="3FB9F30C">
              <w:rPr>
                <w:b/>
                <w:bCs/>
                <w:vertAlign w:val="superscript"/>
              </w:rPr>
              <w:t>th</w:t>
            </w:r>
            <w:r w:rsidRPr="3FB9F30C">
              <w:rPr>
                <w:b/>
                <w:bCs/>
              </w:rPr>
              <w:t xml:space="preserve"> April.</w:t>
            </w:r>
            <w:r w:rsidR="00ED615E">
              <w:rPr>
                <w:b/>
                <w:bCs/>
              </w:rPr>
              <w:t>)</w:t>
            </w:r>
          </w:p>
          <w:p w14:paraId="1F13FB20" w14:textId="77777777" w:rsidR="008420D7" w:rsidRDefault="008420D7" w:rsidP="3FB9F30C">
            <w:pPr>
              <w:rPr>
                <w:b/>
                <w:bCs/>
              </w:rPr>
            </w:pPr>
          </w:p>
          <w:p w14:paraId="0CD19E81" w14:textId="4A61D25C" w:rsidR="7624FCDF" w:rsidRDefault="2179EF45" w:rsidP="7624FCDF">
            <w:r>
              <w:t>Med</w:t>
            </w:r>
            <w:r w:rsidR="008420D7">
              <w:t>icine</w:t>
            </w:r>
            <w:r>
              <w:t xml:space="preserve">s shortages – </w:t>
            </w:r>
            <w:r w:rsidR="008420D7">
              <w:t xml:space="preserve">RPS leading on forming a </w:t>
            </w:r>
            <w:r>
              <w:t>work</w:t>
            </w:r>
            <w:r w:rsidR="008420D7">
              <w:t>ing group</w:t>
            </w:r>
            <w:r>
              <w:t xml:space="preserve"> and events being held. </w:t>
            </w:r>
            <w:r w:rsidR="008420D7">
              <w:t>Scoping</w:t>
            </w:r>
            <w:r>
              <w:t xml:space="preserve"> review completed by SRC. Bruce Warner chairing the group and </w:t>
            </w:r>
            <w:r w:rsidR="008420D7">
              <w:t xml:space="preserve">the </w:t>
            </w:r>
            <w:r w:rsidR="008420D7">
              <w:lastRenderedPageBreak/>
              <w:t xml:space="preserve">outputs will be the end </w:t>
            </w:r>
            <w:r>
              <w:t>report</w:t>
            </w:r>
            <w:r w:rsidR="008420D7">
              <w:t xml:space="preserve"> with recommendations and influence that comes from this</w:t>
            </w:r>
            <w:r>
              <w:t>.</w:t>
            </w:r>
            <w:r w:rsidR="008420D7">
              <w:t xml:space="preserve"> </w:t>
            </w:r>
          </w:p>
          <w:p w14:paraId="69379CAD" w14:textId="77777777" w:rsidR="008420D7" w:rsidRDefault="008420D7" w:rsidP="7624FCDF"/>
          <w:p w14:paraId="6ECDF463" w14:textId="39D14AFD" w:rsidR="7624FCDF" w:rsidRDefault="00000000" w:rsidP="7624FCDF">
            <w:hyperlink r:id="rId8" w:history="1">
              <w:r w:rsidR="008420D7" w:rsidRPr="00456E5F">
                <w:rPr>
                  <w:rStyle w:val="Hyperlink"/>
                </w:rPr>
                <w:t>https://www.rpharms.com/about-us/news/details/new-rps-project-investigates-medicines-shortages</w:t>
              </w:r>
            </w:hyperlink>
            <w:r w:rsidR="008420D7">
              <w:t xml:space="preserve"> </w:t>
            </w:r>
          </w:p>
          <w:p w14:paraId="4CAF6AFB" w14:textId="77777777" w:rsidR="008420D7" w:rsidRDefault="008420D7" w:rsidP="7624FCDF"/>
          <w:p w14:paraId="7156446F" w14:textId="42A57F65" w:rsidR="7624FCDF" w:rsidRDefault="3FB9F30C" w:rsidP="3FB9F30C">
            <w:pPr>
              <w:rPr>
                <w:b/>
                <w:bCs/>
              </w:rPr>
            </w:pPr>
            <w:r w:rsidRPr="3FB9F30C">
              <w:rPr>
                <w:b/>
                <w:bCs/>
              </w:rPr>
              <w:t>ACTION – send email to A</w:t>
            </w:r>
            <w:r w:rsidR="008420D7">
              <w:rPr>
                <w:b/>
                <w:bCs/>
              </w:rPr>
              <w:t>m</w:t>
            </w:r>
            <w:r w:rsidRPr="3FB9F30C">
              <w:rPr>
                <w:b/>
                <w:bCs/>
              </w:rPr>
              <w:t xml:space="preserve">EAG </w:t>
            </w:r>
            <w:r w:rsidR="004322BC">
              <w:rPr>
                <w:b/>
                <w:bCs/>
              </w:rPr>
              <w:t xml:space="preserve">to </w:t>
            </w:r>
            <w:r w:rsidRPr="3FB9F30C">
              <w:rPr>
                <w:b/>
                <w:bCs/>
              </w:rPr>
              <w:t xml:space="preserve">request for volunteers </w:t>
            </w:r>
            <w:r w:rsidR="008420D7">
              <w:rPr>
                <w:b/>
                <w:bCs/>
              </w:rPr>
              <w:t>to attend workshop</w:t>
            </w:r>
            <w:r w:rsidR="004322BC">
              <w:rPr>
                <w:b/>
                <w:bCs/>
              </w:rPr>
              <w:t xml:space="preserve"> for medicines shortages review</w:t>
            </w:r>
            <w:r w:rsidR="0032776E">
              <w:rPr>
                <w:b/>
                <w:bCs/>
              </w:rPr>
              <w:t xml:space="preserve"> and understand more about the project</w:t>
            </w:r>
            <w:r w:rsidR="008420D7">
              <w:rPr>
                <w:b/>
                <w:bCs/>
              </w:rPr>
              <w:t>.</w:t>
            </w:r>
          </w:p>
          <w:p w14:paraId="71ACB642" w14:textId="2D419A14" w:rsidR="7624FCDF" w:rsidRDefault="7624FCDF" w:rsidP="7624FCDF"/>
        </w:tc>
      </w:tr>
      <w:tr w:rsidR="37C57258" w14:paraId="746AE187" w14:textId="77777777" w:rsidTr="3FB9F30C">
        <w:trPr>
          <w:trHeight w:val="70"/>
        </w:trPr>
        <w:tc>
          <w:tcPr>
            <w:tcW w:w="1271" w:type="dxa"/>
          </w:tcPr>
          <w:p w14:paraId="6D2CE6E2" w14:textId="371CFD5D" w:rsidR="37C57258" w:rsidRDefault="37C57258" w:rsidP="37C57258"/>
        </w:tc>
        <w:tc>
          <w:tcPr>
            <w:tcW w:w="7745" w:type="dxa"/>
            <w:gridSpan w:val="2"/>
          </w:tcPr>
          <w:p w14:paraId="3710E9A7" w14:textId="54289DA7" w:rsidR="004322BC" w:rsidRDefault="004322BC" w:rsidP="004322BC">
            <w:r>
              <w:t>Updates from AmEAG:</w:t>
            </w:r>
          </w:p>
          <w:p w14:paraId="19F5F9D9" w14:textId="62152B84" w:rsidR="37C57258" w:rsidRDefault="37C57258" w:rsidP="37C57258">
            <w:pPr>
              <w:pStyle w:val="ListParagraph"/>
              <w:numPr>
                <w:ilvl w:val="0"/>
                <w:numId w:val="2"/>
              </w:numPr>
            </w:pPr>
            <w:r w:rsidRPr="37C57258">
              <w:t xml:space="preserve">LD/ MG Acute trusts dealing </w:t>
            </w:r>
            <w:r w:rsidR="000651FD">
              <w:t xml:space="preserve">with </w:t>
            </w:r>
            <w:r w:rsidR="000651FD" w:rsidRPr="37C57258">
              <w:t>fluoroquinolone</w:t>
            </w:r>
            <w:r w:rsidRPr="37C57258">
              <w:t xml:space="preserve"> alerts (across ICB settings)</w:t>
            </w:r>
          </w:p>
          <w:p w14:paraId="61336162" w14:textId="77777777" w:rsidR="0032776E" w:rsidRDefault="0032776E" w:rsidP="0032776E">
            <w:pPr>
              <w:pStyle w:val="ListParagraph"/>
            </w:pPr>
          </w:p>
          <w:p w14:paraId="597942A4" w14:textId="4771B9F5" w:rsidR="003F5673" w:rsidRDefault="37C57258" w:rsidP="003F5673">
            <w:pPr>
              <w:pStyle w:val="ListParagraph"/>
              <w:numPr>
                <w:ilvl w:val="0"/>
                <w:numId w:val="2"/>
              </w:numPr>
            </w:pPr>
            <w:r w:rsidRPr="37C57258">
              <w:t>AT -Health board nitrofurantoin, how much discussion should be had with the risks outlined? Coronary report – what should health board be doing? (short courses) UTI prescriptions – acute 7 day courses. Longer than 7 days?</w:t>
            </w:r>
          </w:p>
          <w:p w14:paraId="60E680CF" w14:textId="77777777" w:rsidR="003F5673" w:rsidRDefault="003F5673" w:rsidP="003F5673">
            <w:pPr>
              <w:pStyle w:val="ListParagraph"/>
            </w:pPr>
          </w:p>
          <w:p w14:paraId="5354D82B" w14:textId="561CBFF9" w:rsidR="37C57258" w:rsidRDefault="37C57258" w:rsidP="37C57258">
            <w:pPr>
              <w:pStyle w:val="ListParagraph"/>
              <w:numPr>
                <w:ilvl w:val="0"/>
                <w:numId w:val="2"/>
              </w:numPr>
            </w:pPr>
            <w:r w:rsidRPr="37C57258">
              <w:t xml:space="preserve">PH to share </w:t>
            </w:r>
            <w:r w:rsidR="000651FD">
              <w:t>P</w:t>
            </w:r>
            <w:r w:rsidRPr="37C57258">
              <w:t>res</w:t>
            </w:r>
            <w:r w:rsidR="000651FD">
              <w:t>cQIPP</w:t>
            </w:r>
            <w:r w:rsidRPr="37C57258">
              <w:t xml:space="preserve"> webinar on nitrofurantoin</w:t>
            </w:r>
          </w:p>
          <w:p w14:paraId="75919C3B" w14:textId="0B2BE52A" w:rsidR="37C57258" w:rsidRDefault="37C57258" w:rsidP="37C57258">
            <w:pPr>
              <w:pStyle w:val="ListParagraph"/>
              <w:numPr>
                <w:ilvl w:val="0"/>
                <w:numId w:val="2"/>
              </w:numPr>
            </w:pPr>
            <w:r w:rsidRPr="37C57258">
              <w:t xml:space="preserve">PH quinolones </w:t>
            </w:r>
            <w:r w:rsidR="00ED615E">
              <w:t>UKSA</w:t>
            </w:r>
            <w:r w:rsidRPr="37C57258">
              <w:t xml:space="preserve"> group have met about the alert – data to follow. Consumption 2</w:t>
            </w:r>
            <w:r w:rsidRPr="37C57258">
              <w:rPr>
                <w:vertAlign w:val="superscript"/>
              </w:rPr>
              <w:t>nd</w:t>
            </w:r>
            <w:r w:rsidRPr="37C57258">
              <w:t xml:space="preserve"> lowest in primary care</w:t>
            </w:r>
          </w:p>
          <w:p w14:paraId="4970778B" w14:textId="7C2CC36B" w:rsidR="0032776E" w:rsidRDefault="37C57258" w:rsidP="0032776E">
            <w:pPr>
              <w:pStyle w:val="ListParagraph"/>
              <w:numPr>
                <w:ilvl w:val="0"/>
                <w:numId w:val="2"/>
              </w:numPr>
            </w:pPr>
            <w:r w:rsidRPr="37C57258">
              <w:t>PH giving info</w:t>
            </w:r>
            <w:r w:rsidR="00ED615E">
              <w:t>rmation</w:t>
            </w:r>
            <w:r w:rsidRPr="37C57258">
              <w:t xml:space="preserve"> to patients – MHRA safety committee – patients need to be given the PIL so they</w:t>
            </w:r>
            <w:r w:rsidR="00ED615E">
              <w:t>’</w:t>
            </w:r>
            <w:r w:rsidRPr="37C57258">
              <w:t xml:space="preserve">re aware of risks and what to do if anything happens. MHRA alerts, risk ratification. More data coming. Patient awareness – NICE reviewing guidelines. UKSA </w:t>
            </w:r>
            <w:r w:rsidR="00ED615E" w:rsidRPr="37C57258">
              <w:t>working</w:t>
            </w:r>
            <w:r w:rsidRPr="37C57258">
              <w:t xml:space="preserve"> with BASSH. Pen allergy and fluoroquinolones.</w:t>
            </w:r>
          </w:p>
          <w:p w14:paraId="36E1D533" w14:textId="10BCC452" w:rsidR="0032776E" w:rsidRDefault="00ED615E" w:rsidP="0032776E">
            <w:pPr>
              <w:pStyle w:val="ListParagraph"/>
              <w:numPr>
                <w:ilvl w:val="0"/>
                <w:numId w:val="2"/>
              </w:numPr>
            </w:pPr>
            <w:r>
              <w:t xml:space="preserve">PH </w:t>
            </w:r>
            <w:r w:rsidR="37C57258" w:rsidRPr="37C57258">
              <w:t>27</w:t>
            </w:r>
            <w:r w:rsidR="37C57258" w:rsidRPr="37C57258">
              <w:rPr>
                <w:vertAlign w:val="superscript"/>
              </w:rPr>
              <w:t>th</w:t>
            </w:r>
            <w:r w:rsidR="37C57258" w:rsidRPr="37C57258">
              <w:t xml:space="preserve"> Sept </w:t>
            </w:r>
            <w:r>
              <w:t xml:space="preserve">Pen allergy next steps summit. </w:t>
            </w:r>
          </w:p>
          <w:p w14:paraId="34C43982" w14:textId="77777777" w:rsidR="0032776E" w:rsidRDefault="0032776E" w:rsidP="0032776E">
            <w:pPr>
              <w:pStyle w:val="ListParagraph"/>
            </w:pPr>
          </w:p>
          <w:p w14:paraId="46B6A70B" w14:textId="77777777" w:rsidR="0032776E" w:rsidRDefault="163F8433" w:rsidP="0032776E">
            <w:pPr>
              <w:pStyle w:val="ListParagraph"/>
              <w:numPr>
                <w:ilvl w:val="0"/>
                <w:numId w:val="2"/>
              </w:numPr>
            </w:pPr>
            <w:r w:rsidRPr="163F8433">
              <w:t>GCB – electronic care recording coming to NI – Ireland has reduced FQ use faster than most countries</w:t>
            </w:r>
          </w:p>
          <w:p w14:paraId="683326DD" w14:textId="77777777" w:rsidR="0032776E" w:rsidRDefault="0032776E" w:rsidP="0032776E">
            <w:pPr>
              <w:pStyle w:val="ListParagraph"/>
            </w:pPr>
          </w:p>
          <w:p w14:paraId="1D2D38F3" w14:textId="4787FB0B" w:rsidR="37C57258" w:rsidRDefault="163F8433" w:rsidP="0032776E">
            <w:pPr>
              <w:pStyle w:val="ListParagraph"/>
              <w:numPr>
                <w:ilvl w:val="0"/>
                <w:numId w:val="2"/>
              </w:numPr>
            </w:pPr>
            <w:r w:rsidRPr="163F8433">
              <w:t xml:space="preserve">KH 37 project </w:t>
            </w:r>
            <w:r w:rsidR="00ED615E" w:rsidRPr="163F8433">
              <w:t>priorities</w:t>
            </w:r>
            <w:r w:rsidRPr="163F8433">
              <w:t xml:space="preserve"> in primary care – pharmacy first data coming through. Liz Beech analysing. Positive use of products. Research file on IP pathfinder pharmacies (phased in study, randomised</w:t>
            </w:r>
            <w:r w:rsidR="00ED615E">
              <w:t>)</w:t>
            </w:r>
            <w:r w:rsidRPr="163F8433">
              <w:t xml:space="preserve"> </w:t>
            </w:r>
          </w:p>
          <w:p w14:paraId="5E4B41AE" w14:textId="57ABBCD0" w:rsidR="37C57258" w:rsidRDefault="163F8433" w:rsidP="37C57258">
            <w:pPr>
              <w:pStyle w:val="ListParagraph"/>
              <w:numPr>
                <w:ilvl w:val="0"/>
                <w:numId w:val="2"/>
              </w:numPr>
            </w:pPr>
            <w:r w:rsidRPr="163F8433">
              <w:t>KH evaluation of the Pharmacy first. Shorter course promotion. PCN staff recurrent infection. Funding bid for POC testing across settings.</w:t>
            </w:r>
          </w:p>
          <w:p w14:paraId="46C4AE17" w14:textId="47DD2243" w:rsidR="37C57258" w:rsidRDefault="163F8433" w:rsidP="37C57258">
            <w:pPr>
              <w:pStyle w:val="ListParagraph"/>
              <w:numPr>
                <w:ilvl w:val="0"/>
                <w:numId w:val="2"/>
              </w:numPr>
            </w:pPr>
            <w:r w:rsidRPr="163F8433">
              <w:t xml:space="preserve">KH risk assessment / </w:t>
            </w:r>
            <w:r w:rsidR="00ED615E">
              <w:t>b</w:t>
            </w:r>
            <w:r w:rsidRPr="163F8433">
              <w:t xml:space="preserve">enchmarking / shared decision making tools / </w:t>
            </w:r>
            <w:r w:rsidR="00ED615E" w:rsidRPr="163F8433">
              <w:t>safety</w:t>
            </w:r>
            <w:r w:rsidRPr="163F8433">
              <w:t xml:space="preserve"> netting empowering patients / gained funding for </w:t>
            </w:r>
            <w:r w:rsidR="00ED615E" w:rsidRPr="163F8433">
              <w:t>capability</w:t>
            </w:r>
            <w:r w:rsidRPr="163F8433">
              <w:t xml:space="preserve"> framework for (delphi process)</w:t>
            </w:r>
          </w:p>
          <w:p w14:paraId="70701A61" w14:textId="33CD33C3" w:rsidR="37C57258" w:rsidRDefault="163F8433" w:rsidP="37C57258">
            <w:pPr>
              <w:pStyle w:val="ListParagraph"/>
              <w:numPr>
                <w:ilvl w:val="0"/>
                <w:numId w:val="2"/>
              </w:numPr>
            </w:pPr>
            <w:r w:rsidRPr="163F8433">
              <w:t xml:space="preserve">KH Secondary care – UKHSA </w:t>
            </w:r>
            <w:r w:rsidR="00ED615E" w:rsidRPr="163F8433">
              <w:t>developing</w:t>
            </w:r>
            <w:r w:rsidRPr="163F8433">
              <w:t xml:space="preserve"> </w:t>
            </w:r>
            <w:r w:rsidR="0032776E">
              <w:t xml:space="preserve">paediatric </w:t>
            </w:r>
            <w:r w:rsidRPr="163F8433">
              <w:t>switch criteria – published. Tool to come. CQUIN</w:t>
            </w:r>
            <w:r w:rsidR="0032776E">
              <w:t xml:space="preserve"> no financial incentive in 24/25</w:t>
            </w:r>
            <w:r w:rsidRPr="163F8433">
              <w:t>. Watch</w:t>
            </w:r>
            <w:r w:rsidR="00ED615E">
              <w:t xml:space="preserve"> </w:t>
            </w:r>
            <w:r w:rsidRPr="163F8433">
              <w:t>and reserve consumption – share learning from hospitals who have done this well. Point prevalent surveys. New antibiotic subscription model wider roll out, launched in April. St</w:t>
            </w:r>
            <w:r w:rsidR="00ED615E">
              <w:t>andard</w:t>
            </w:r>
            <w:r w:rsidRPr="163F8433">
              <w:t xml:space="preserve"> scoring tool – new antibiotics.</w:t>
            </w:r>
          </w:p>
          <w:p w14:paraId="704A26E9" w14:textId="3DF5F6C3" w:rsidR="37C57258" w:rsidRDefault="4B032A02" w:rsidP="37C57258">
            <w:pPr>
              <w:pStyle w:val="ListParagraph"/>
              <w:numPr>
                <w:ilvl w:val="0"/>
                <w:numId w:val="2"/>
              </w:numPr>
            </w:pPr>
            <w:r w:rsidRPr="4B032A02">
              <w:t>KH - National action plan to be launched with a strategic plan to follow.</w:t>
            </w:r>
          </w:p>
          <w:p w14:paraId="109B9CEC" w14:textId="1FE040C2" w:rsidR="37C57258" w:rsidRDefault="37C57258" w:rsidP="4B032A02"/>
        </w:tc>
      </w:tr>
    </w:tbl>
    <w:p w14:paraId="18D13B42" w14:textId="77777777" w:rsidR="00D5412D" w:rsidRDefault="00D54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="00D5412D" w:rsidRPr="00E6471E" w14:paraId="4C9EB335" w14:textId="77777777" w:rsidTr="37C57258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14:paraId="0750B186" w14:textId="42E8F83D" w:rsidR="00D5412D" w:rsidRPr="00E6471E" w:rsidRDefault="00D5412D" w:rsidP="00CB01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</w:t>
            </w:r>
            <w:r w:rsidR="00DF21E4">
              <w:rPr>
                <w:b/>
                <w:bCs/>
              </w:rPr>
              <w:t>5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3DB72617" w14:textId="6C97E628" w:rsidR="00D5412D" w:rsidRDefault="00D5412D" w:rsidP="00CB01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Summarising key actions</w:t>
            </w:r>
          </w:p>
          <w:p w14:paraId="363D13FA" w14:textId="77777777" w:rsidR="00D5412D" w:rsidRPr="00D5412D" w:rsidRDefault="00D5412D" w:rsidP="00CB01C1">
            <w:pPr>
              <w:spacing w:before="60" w:after="60"/>
            </w:pPr>
            <w:r>
              <w:t>Led by Chair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14:paraId="60342C91" w14:textId="34A23B3C" w:rsidR="00D5412D" w:rsidRPr="00E6471E" w:rsidRDefault="00D5412D" w:rsidP="00CB01C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 minutes</w:t>
            </w:r>
          </w:p>
        </w:tc>
      </w:tr>
      <w:tr w:rsidR="00D5412D" w:rsidRPr="00E6471E" w14:paraId="79FE3C0E" w14:textId="77777777" w:rsidTr="37C57258">
        <w:trPr>
          <w:trHeight w:val="70"/>
        </w:trPr>
        <w:tc>
          <w:tcPr>
            <w:tcW w:w="1271" w:type="dxa"/>
          </w:tcPr>
          <w:p w14:paraId="7F4DCDBE" w14:textId="77777777" w:rsidR="00D5412D" w:rsidRPr="00E6471E" w:rsidRDefault="00D5412D" w:rsidP="00CB01C1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14:paraId="1AA2C7E9" w14:textId="77777777" w:rsidR="00D5412D" w:rsidRPr="0015301B" w:rsidRDefault="00D5412D" w:rsidP="00D5412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To summarise key action points and ask for any agenda items for next meeting.</w:t>
            </w:r>
            <w:r w:rsidRPr="0015301B">
              <w:rPr>
                <w:rStyle w:val="normaltextrun"/>
              </w:rPr>
              <w:t> </w:t>
            </w:r>
          </w:p>
          <w:p w14:paraId="71DBFB1A" w14:textId="77777777" w:rsidR="00D5412D" w:rsidRPr="0015301B" w:rsidRDefault="00D5412D" w:rsidP="00D5412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5301B">
              <w:rPr>
                <w:rStyle w:val="normaltextrun"/>
              </w:rPr>
              <w:t> </w:t>
            </w:r>
          </w:p>
          <w:p w14:paraId="047E670F" w14:textId="499F141C" w:rsidR="00D5412D" w:rsidRPr="0015301B" w:rsidRDefault="00D5412D" w:rsidP="00D5412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5301B">
              <w:rPr>
                <w:rStyle w:val="normaltextrun"/>
                <w:rFonts w:ascii="Arial" w:hAnsi="Arial" w:cs="Arial"/>
                <w:sz w:val="20"/>
                <w:szCs w:val="20"/>
              </w:rPr>
              <w:t>Date of next meeting</w:t>
            </w:r>
            <w:r w:rsidR="00DF21E4" w:rsidRPr="0015301B">
              <w:rPr>
                <w:rStyle w:val="normaltextrun"/>
                <w:rFonts w:ascii="Arial" w:hAnsi="Arial" w:cs="Arial"/>
                <w:sz w:val="20"/>
                <w:szCs w:val="20"/>
              </w:rPr>
              <w:t>s</w:t>
            </w:r>
            <w:r w:rsidRPr="0015301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AEEBF6" w14:textId="77777777" w:rsidR="00DF21E4" w:rsidRPr="0015301B" w:rsidRDefault="00DF21E4" w:rsidP="00D5412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6B678C6B" w14:textId="6D5A1792" w:rsidR="00DF21E4" w:rsidRDefault="00DF21E4" w:rsidP="0015301B">
            <w:pPr>
              <w:pStyle w:val="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F21E4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 xml:space="preserve">Thursday 23rd May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at </w:t>
            </w:r>
            <w:r w:rsidRPr="00DF21E4">
              <w:rPr>
                <w:rStyle w:val="normaltextrun"/>
                <w:rFonts w:ascii="Arial" w:hAnsi="Arial" w:cs="Arial"/>
                <w:sz w:val="20"/>
                <w:szCs w:val="20"/>
              </w:rPr>
              <w:t>2pm</w:t>
            </w:r>
          </w:p>
          <w:p w14:paraId="281ED378" w14:textId="6576BBE0" w:rsidR="00DF21E4" w:rsidRPr="0015301B" w:rsidRDefault="0015301B" w:rsidP="0015301B">
            <w:pPr>
              <w:pStyle w:val="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5301B">
              <w:rPr>
                <w:rStyle w:val="normaltextrun"/>
                <w:rFonts w:ascii="Arial" w:hAnsi="Arial" w:cs="Arial"/>
                <w:sz w:val="20"/>
                <w:szCs w:val="20"/>
              </w:rPr>
              <w:t>Thursday 3rd October at 2pm</w:t>
            </w:r>
          </w:p>
          <w:p w14:paraId="66DAFBE4" w14:textId="1AB2D139" w:rsidR="00DF21E4" w:rsidRPr="0015301B" w:rsidRDefault="00DF21E4" w:rsidP="00D5412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</w:tbl>
    <w:p w14:paraId="6865D154" w14:textId="6B24353E" w:rsidR="00EB06CE" w:rsidRPr="00EB06CE" w:rsidRDefault="00EB06CE" w:rsidP="00EB06CE">
      <w:pPr>
        <w:rPr>
          <w:highlight w:val="yellow"/>
        </w:rPr>
      </w:pPr>
    </w:p>
    <w:p w14:paraId="14123AE1" w14:textId="77777777" w:rsidR="00123524" w:rsidRDefault="00123524" w:rsidP="00EB06CE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033EA2" w:rsidRPr="00E6471E" w14:paraId="4AF2058D" w14:textId="77777777" w:rsidTr="002F7417">
        <w:trPr>
          <w:trHeight w:val="209"/>
        </w:trPr>
        <w:tc>
          <w:tcPr>
            <w:tcW w:w="4815" w:type="dxa"/>
            <w:shd w:val="clear" w:color="auto" w:fill="DEEAF6" w:themeFill="accent5" w:themeFillTint="33"/>
          </w:tcPr>
          <w:p w14:paraId="573B5B73" w14:textId="07B6880F" w:rsidR="00033EA2" w:rsidRPr="00E6471E" w:rsidRDefault="00033EA2" w:rsidP="0036214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Relevant upcoming events and webinars </w:t>
            </w:r>
            <w:hyperlink r:id="rId9" w:history="1">
              <w:r w:rsidRPr="00CF471F">
                <w:rPr>
                  <w:rStyle w:val="Hyperlink"/>
                  <w:b/>
                  <w:bCs/>
                </w:rPr>
                <w:t>https://www.rpharms.com/events</w:t>
              </w:r>
            </w:hyperlink>
          </w:p>
        </w:tc>
      </w:tr>
    </w:tbl>
    <w:p w14:paraId="45A4FFF0" w14:textId="77777777" w:rsidR="009D1157" w:rsidRPr="00E6471E" w:rsidRDefault="009D1157" w:rsidP="00E6471E"/>
    <w:sectPr w:rsidR="009D1157" w:rsidRPr="00E647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40B6" w14:textId="77777777" w:rsidR="00951DCA" w:rsidRDefault="00951DCA" w:rsidP="00E6471E">
      <w:r>
        <w:separator/>
      </w:r>
    </w:p>
  </w:endnote>
  <w:endnote w:type="continuationSeparator" w:id="0">
    <w:p w14:paraId="5241BE0B" w14:textId="77777777" w:rsidR="00951DCA" w:rsidRDefault="00951DCA" w:rsidP="00E6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A839" w14:textId="77777777" w:rsidR="00951DCA" w:rsidRDefault="00951DCA" w:rsidP="00E6471E">
      <w:r>
        <w:separator/>
      </w:r>
    </w:p>
  </w:footnote>
  <w:footnote w:type="continuationSeparator" w:id="0">
    <w:p w14:paraId="33EC81B2" w14:textId="77777777" w:rsidR="00951DCA" w:rsidRDefault="00951DCA" w:rsidP="00E6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49D940A6" w:rsidR="00E14CCB" w:rsidRDefault="00E14CCB" w:rsidP="00E6471E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A677C"/>
    <w:multiLevelType w:val="hybridMultilevel"/>
    <w:tmpl w:val="C10EB376"/>
    <w:lvl w:ilvl="0" w:tplc="F99689E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3B1D"/>
    <w:multiLevelType w:val="hybridMultilevel"/>
    <w:tmpl w:val="129A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D1C75"/>
    <w:multiLevelType w:val="hybridMultilevel"/>
    <w:tmpl w:val="67E0556A"/>
    <w:lvl w:ilvl="0" w:tplc="19A884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0063F"/>
    <w:multiLevelType w:val="hybridMultilevel"/>
    <w:tmpl w:val="9B12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D3F3A"/>
    <w:multiLevelType w:val="hybridMultilevel"/>
    <w:tmpl w:val="C2F0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2079"/>
    <w:multiLevelType w:val="hybridMultilevel"/>
    <w:tmpl w:val="174E6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A46DE"/>
    <w:multiLevelType w:val="hybridMultilevel"/>
    <w:tmpl w:val="DF74F2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8AB4"/>
    <w:multiLevelType w:val="hybridMultilevel"/>
    <w:tmpl w:val="1CBCD2C6"/>
    <w:lvl w:ilvl="0" w:tplc="ACF0EA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86F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4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2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C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23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B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6D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1511"/>
    <w:multiLevelType w:val="hybridMultilevel"/>
    <w:tmpl w:val="BA60A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A5BA9"/>
    <w:multiLevelType w:val="hybridMultilevel"/>
    <w:tmpl w:val="0AFA6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51F"/>
    <w:multiLevelType w:val="hybridMultilevel"/>
    <w:tmpl w:val="A992E19E"/>
    <w:lvl w:ilvl="0" w:tplc="D1EE0E2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2D9204A"/>
    <w:multiLevelType w:val="hybridMultilevel"/>
    <w:tmpl w:val="EB84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4045"/>
    <w:multiLevelType w:val="hybridMultilevel"/>
    <w:tmpl w:val="0E4E28F0"/>
    <w:lvl w:ilvl="0" w:tplc="983EE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92086"/>
    <w:multiLevelType w:val="hybridMultilevel"/>
    <w:tmpl w:val="BE08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6926"/>
    <w:multiLevelType w:val="hybridMultilevel"/>
    <w:tmpl w:val="B37299FA"/>
    <w:lvl w:ilvl="0" w:tplc="3A8C7CC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D5477E9"/>
    <w:multiLevelType w:val="hybridMultilevel"/>
    <w:tmpl w:val="EDACA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70A1"/>
    <w:multiLevelType w:val="hybridMultilevel"/>
    <w:tmpl w:val="507E6E0E"/>
    <w:lvl w:ilvl="0" w:tplc="4C98C1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05BD4"/>
    <w:multiLevelType w:val="hybridMultilevel"/>
    <w:tmpl w:val="28B2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77BB"/>
    <w:multiLevelType w:val="hybridMultilevel"/>
    <w:tmpl w:val="BB1479B0"/>
    <w:lvl w:ilvl="0" w:tplc="B67AEE32">
      <w:start w:val="1"/>
      <w:numFmt w:val="decimal"/>
      <w:lvlText w:val="%1."/>
      <w:lvlJc w:val="left"/>
      <w:pPr>
        <w:ind w:left="68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02" w:hanging="360"/>
      </w:pPr>
    </w:lvl>
    <w:lvl w:ilvl="2" w:tplc="0809001B">
      <w:start w:val="1"/>
      <w:numFmt w:val="lowerRoman"/>
      <w:lvlText w:val="%3."/>
      <w:lvlJc w:val="right"/>
      <w:pPr>
        <w:ind w:left="2122" w:hanging="180"/>
      </w:pPr>
    </w:lvl>
    <w:lvl w:ilvl="3" w:tplc="0809000F">
      <w:start w:val="1"/>
      <w:numFmt w:val="decimal"/>
      <w:lvlText w:val="%4."/>
      <w:lvlJc w:val="left"/>
      <w:pPr>
        <w:ind w:left="2842" w:hanging="360"/>
      </w:pPr>
    </w:lvl>
    <w:lvl w:ilvl="4" w:tplc="08090019">
      <w:start w:val="1"/>
      <w:numFmt w:val="lowerLetter"/>
      <w:lvlText w:val="%5."/>
      <w:lvlJc w:val="left"/>
      <w:pPr>
        <w:ind w:left="3562" w:hanging="360"/>
      </w:pPr>
    </w:lvl>
    <w:lvl w:ilvl="5" w:tplc="0809001B">
      <w:start w:val="1"/>
      <w:numFmt w:val="lowerRoman"/>
      <w:lvlText w:val="%6."/>
      <w:lvlJc w:val="right"/>
      <w:pPr>
        <w:ind w:left="4282" w:hanging="180"/>
      </w:pPr>
    </w:lvl>
    <w:lvl w:ilvl="6" w:tplc="0809000F">
      <w:start w:val="1"/>
      <w:numFmt w:val="decimal"/>
      <w:lvlText w:val="%7."/>
      <w:lvlJc w:val="left"/>
      <w:pPr>
        <w:ind w:left="5002" w:hanging="360"/>
      </w:pPr>
    </w:lvl>
    <w:lvl w:ilvl="7" w:tplc="08090019">
      <w:start w:val="1"/>
      <w:numFmt w:val="lowerLetter"/>
      <w:lvlText w:val="%8."/>
      <w:lvlJc w:val="left"/>
      <w:pPr>
        <w:ind w:left="5722" w:hanging="360"/>
      </w:pPr>
    </w:lvl>
    <w:lvl w:ilvl="8" w:tplc="0809001B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40D477D5"/>
    <w:multiLevelType w:val="hybridMultilevel"/>
    <w:tmpl w:val="9872CA02"/>
    <w:lvl w:ilvl="0" w:tplc="4BAC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04B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5E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AB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9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8A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2E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61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60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C4AF0"/>
    <w:multiLevelType w:val="hybridMultilevel"/>
    <w:tmpl w:val="4828B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F27F87"/>
    <w:multiLevelType w:val="hybridMultilevel"/>
    <w:tmpl w:val="6A88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57151"/>
    <w:multiLevelType w:val="hybridMultilevel"/>
    <w:tmpl w:val="1234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B6DAE"/>
    <w:multiLevelType w:val="hybridMultilevel"/>
    <w:tmpl w:val="7892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E72C6"/>
    <w:multiLevelType w:val="hybridMultilevel"/>
    <w:tmpl w:val="94B4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8097E"/>
    <w:multiLevelType w:val="hybridMultilevel"/>
    <w:tmpl w:val="5C6C20FE"/>
    <w:lvl w:ilvl="0" w:tplc="882A2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32337"/>
    <w:multiLevelType w:val="hybridMultilevel"/>
    <w:tmpl w:val="B0403E56"/>
    <w:lvl w:ilvl="0" w:tplc="EC38B9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71954"/>
    <w:multiLevelType w:val="hybridMultilevel"/>
    <w:tmpl w:val="33EEAA2E"/>
    <w:lvl w:ilvl="0" w:tplc="F99689E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17946"/>
    <w:multiLevelType w:val="hybridMultilevel"/>
    <w:tmpl w:val="B4B8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92434"/>
    <w:multiLevelType w:val="hybridMultilevel"/>
    <w:tmpl w:val="0908D928"/>
    <w:lvl w:ilvl="0" w:tplc="A8E25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0DF2"/>
    <w:multiLevelType w:val="hybridMultilevel"/>
    <w:tmpl w:val="4C86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00D67"/>
    <w:multiLevelType w:val="hybridMultilevel"/>
    <w:tmpl w:val="4DCAA8FE"/>
    <w:lvl w:ilvl="0" w:tplc="330A6BEA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E086BF9"/>
    <w:multiLevelType w:val="hybridMultilevel"/>
    <w:tmpl w:val="489A9214"/>
    <w:lvl w:ilvl="0" w:tplc="3CCE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3042E8"/>
    <w:multiLevelType w:val="hybridMultilevel"/>
    <w:tmpl w:val="F880F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33C0"/>
    <w:multiLevelType w:val="hybridMultilevel"/>
    <w:tmpl w:val="1B68DA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34ACA"/>
    <w:multiLevelType w:val="hybridMultilevel"/>
    <w:tmpl w:val="57A8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9411D"/>
    <w:multiLevelType w:val="hybridMultilevel"/>
    <w:tmpl w:val="C0E259A4"/>
    <w:lvl w:ilvl="0" w:tplc="DAE8A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16437"/>
    <w:multiLevelType w:val="hybridMultilevel"/>
    <w:tmpl w:val="C6E2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438BB"/>
    <w:multiLevelType w:val="hybridMultilevel"/>
    <w:tmpl w:val="F62209C0"/>
    <w:lvl w:ilvl="0" w:tplc="5B48599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985161"/>
    <w:multiLevelType w:val="hybridMultilevel"/>
    <w:tmpl w:val="9A461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68162">
    <w:abstractNumId w:val="21"/>
  </w:num>
  <w:num w:numId="2" w16cid:durableId="623344852">
    <w:abstractNumId w:val="9"/>
  </w:num>
  <w:num w:numId="3" w16cid:durableId="162477531">
    <w:abstractNumId w:val="24"/>
  </w:num>
  <w:num w:numId="4" w16cid:durableId="1891108940">
    <w:abstractNumId w:val="28"/>
  </w:num>
  <w:num w:numId="5" w16cid:durableId="723136256">
    <w:abstractNumId w:val="29"/>
  </w:num>
  <w:num w:numId="6" w16cid:durableId="1157653121">
    <w:abstractNumId w:val="39"/>
  </w:num>
  <w:num w:numId="7" w16cid:durableId="713508597">
    <w:abstractNumId w:val="0"/>
  </w:num>
  <w:num w:numId="8" w16cid:durableId="154148701">
    <w:abstractNumId w:val="3"/>
  </w:num>
  <w:num w:numId="9" w16cid:durableId="44456082">
    <w:abstractNumId w:val="38"/>
  </w:num>
  <w:num w:numId="10" w16cid:durableId="399060769">
    <w:abstractNumId w:val="22"/>
  </w:num>
  <w:num w:numId="11" w16cid:durableId="99376358">
    <w:abstractNumId w:val="33"/>
  </w:num>
  <w:num w:numId="12" w16cid:durableId="1374035082">
    <w:abstractNumId w:val="42"/>
  </w:num>
  <w:num w:numId="13" w16cid:durableId="1838615845">
    <w:abstractNumId w:val="8"/>
  </w:num>
  <w:num w:numId="14" w16cid:durableId="1028260991">
    <w:abstractNumId w:val="36"/>
  </w:num>
  <w:num w:numId="15" w16cid:durableId="2129543692">
    <w:abstractNumId w:val="23"/>
  </w:num>
  <w:num w:numId="16" w16cid:durableId="551305459">
    <w:abstractNumId w:val="6"/>
  </w:num>
  <w:num w:numId="17" w16cid:durableId="1361659279">
    <w:abstractNumId w:val="35"/>
  </w:num>
  <w:num w:numId="18" w16cid:durableId="1598059095">
    <w:abstractNumId w:val="7"/>
  </w:num>
  <w:num w:numId="19" w16cid:durableId="262567850">
    <w:abstractNumId w:val="12"/>
  </w:num>
  <w:num w:numId="20" w16cid:durableId="62917404">
    <w:abstractNumId w:val="5"/>
  </w:num>
  <w:num w:numId="21" w16cid:durableId="1129666721">
    <w:abstractNumId w:val="13"/>
  </w:num>
  <w:num w:numId="22" w16cid:durableId="1614052372">
    <w:abstractNumId w:val="19"/>
  </w:num>
  <w:num w:numId="23" w16cid:durableId="15608940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09211">
    <w:abstractNumId w:val="1"/>
  </w:num>
  <w:num w:numId="25" w16cid:durableId="1536427652">
    <w:abstractNumId w:val="32"/>
  </w:num>
  <w:num w:numId="26" w16cid:durableId="1615400717">
    <w:abstractNumId w:val="16"/>
  </w:num>
  <w:num w:numId="27" w16cid:durableId="1539853749">
    <w:abstractNumId w:val="18"/>
  </w:num>
  <w:num w:numId="28" w16cid:durableId="28342207">
    <w:abstractNumId w:val="17"/>
  </w:num>
  <w:num w:numId="29" w16cid:durableId="211238867">
    <w:abstractNumId w:val="26"/>
  </w:num>
  <w:num w:numId="30" w16cid:durableId="2038583016">
    <w:abstractNumId w:val="31"/>
  </w:num>
  <w:num w:numId="31" w16cid:durableId="945772029">
    <w:abstractNumId w:val="36"/>
  </w:num>
  <w:num w:numId="32" w16cid:durableId="320620041">
    <w:abstractNumId w:val="30"/>
  </w:num>
  <w:num w:numId="33" w16cid:durableId="1834443822">
    <w:abstractNumId w:val="14"/>
  </w:num>
  <w:num w:numId="34" w16cid:durableId="860357776">
    <w:abstractNumId w:val="27"/>
  </w:num>
  <w:num w:numId="35" w16cid:durableId="1526560688">
    <w:abstractNumId w:val="25"/>
  </w:num>
  <w:num w:numId="36" w16cid:durableId="667252404">
    <w:abstractNumId w:val="44"/>
  </w:num>
  <w:num w:numId="37" w16cid:durableId="13615109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9728020">
    <w:abstractNumId w:val="41"/>
  </w:num>
  <w:num w:numId="39" w16cid:durableId="1350176229">
    <w:abstractNumId w:val="37"/>
  </w:num>
  <w:num w:numId="40" w16cid:durableId="1995984598">
    <w:abstractNumId w:val="15"/>
  </w:num>
  <w:num w:numId="41" w16cid:durableId="1878278043">
    <w:abstractNumId w:val="10"/>
  </w:num>
  <w:num w:numId="42" w16cid:durableId="1090272014">
    <w:abstractNumId w:val="34"/>
  </w:num>
  <w:num w:numId="43" w16cid:durableId="1492721145">
    <w:abstractNumId w:val="11"/>
  </w:num>
  <w:num w:numId="44" w16cid:durableId="1512833428">
    <w:abstractNumId w:val="2"/>
  </w:num>
  <w:num w:numId="45" w16cid:durableId="1558005253">
    <w:abstractNumId w:val="40"/>
  </w:num>
  <w:num w:numId="46" w16cid:durableId="1609041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4F7C"/>
    <w:rsid w:val="0003137F"/>
    <w:rsid w:val="0003388D"/>
    <w:rsid w:val="00033EA2"/>
    <w:rsid w:val="00037DE6"/>
    <w:rsid w:val="0004414A"/>
    <w:rsid w:val="00044D0C"/>
    <w:rsid w:val="00046FE2"/>
    <w:rsid w:val="0004703D"/>
    <w:rsid w:val="00055EF8"/>
    <w:rsid w:val="000651FD"/>
    <w:rsid w:val="000662F7"/>
    <w:rsid w:val="00070AD6"/>
    <w:rsid w:val="000846DD"/>
    <w:rsid w:val="00087631"/>
    <w:rsid w:val="00090F84"/>
    <w:rsid w:val="00092C5E"/>
    <w:rsid w:val="00096BCF"/>
    <w:rsid w:val="000B37D7"/>
    <w:rsid w:val="000B7C69"/>
    <w:rsid w:val="000E2AEA"/>
    <w:rsid w:val="000E6637"/>
    <w:rsid w:val="000F5471"/>
    <w:rsid w:val="00122180"/>
    <w:rsid w:val="00123524"/>
    <w:rsid w:val="001245FA"/>
    <w:rsid w:val="00127437"/>
    <w:rsid w:val="001278B2"/>
    <w:rsid w:val="00134DA5"/>
    <w:rsid w:val="001465FC"/>
    <w:rsid w:val="0015281E"/>
    <w:rsid w:val="0015301B"/>
    <w:rsid w:val="00163E2E"/>
    <w:rsid w:val="001657A9"/>
    <w:rsid w:val="00165E00"/>
    <w:rsid w:val="00176BD0"/>
    <w:rsid w:val="001836A0"/>
    <w:rsid w:val="0019151F"/>
    <w:rsid w:val="00193683"/>
    <w:rsid w:val="001C0DED"/>
    <w:rsid w:val="001D5942"/>
    <w:rsid w:val="001D7BA9"/>
    <w:rsid w:val="001E0E40"/>
    <w:rsid w:val="002053DC"/>
    <w:rsid w:val="002234EE"/>
    <w:rsid w:val="0023687C"/>
    <w:rsid w:val="00263E9E"/>
    <w:rsid w:val="0026426F"/>
    <w:rsid w:val="00264FE0"/>
    <w:rsid w:val="00275EB5"/>
    <w:rsid w:val="00276F40"/>
    <w:rsid w:val="002A5D8D"/>
    <w:rsid w:val="002C2B0D"/>
    <w:rsid w:val="002C353A"/>
    <w:rsid w:val="002E4DAB"/>
    <w:rsid w:val="002F5515"/>
    <w:rsid w:val="002F7417"/>
    <w:rsid w:val="003053FB"/>
    <w:rsid w:val="0031443B"/>
    <w:rsid w:val="00314DA2"/>
    <w:rsid w:val="0032647A"/>
    <w:rsid w:val="0032776E"/>
    <w:rsid w:val="00327C7D"/>
    <w:rsid w:val="0033011A"/>
    <w:rsid w:val="00330EA6"/>
    <w:rsid w:val="00356A09"/>
    <w:rsid w:val="00357C35"/>
    <w:rsid w:val="00366928"/>
    <w:rsid w:val="003822BB"/>
    <w:rsid w:val="003A4ECF"/>
    <w:rsid w:val="003B3F02"/>
    <w:rsid w:val="003B7235"/>
    <w:rsid w:val="003C6A05"/>
    <w:rsid w:val="003D1DF0"/>
    <w:rsid w:val="003D28C2"/>
    <w:rsid w:val="003F5673"/>
    <w:rsid w:val="003F7411"/>
    <w:rsid w:val="0040698A"/>
    <w:rsid w:val="004130F1"/>
    <w:rsid w:val="00420E20"/>
    <w:rsid w:val="004215EF"/>
    <w:rsid w:val="004322BC"/>
    <w:rsid w:val="004528BA"/>
    <w:rsid w:val="0045704F"/>
    <w:rsid w:val="0048222E"/>
    <w:rsid w:val="00485597"/>
    <w:rsid w:val="004A3F05"/>
    <w:rsid w:val="004C0C4B"/>
    <w:rsid w:val="004C4722"/>
    <w:rsid w:val="004D5046"/>
    <w:rsid w:val="004E4E2D"/>
    <w:rsid w:val="004F7ECF"/>
    <w:rsid w:val="0051027F"/>
    <w:rsid w:val="00527A5A"/>
    <w:rsid w:val="00532272"/>
    <w:rsid w:val="0055032F"/>
    <w:rsid w:val="005526E5"/>
    <w:rsid w:val="00556E9B"/>
    <w:rsid w:val="00561BE3"/>
    <w:rsid w:val="00564A2B"/>
    <w:rsid w:val="00570263"/>
    <w:rsid w:val="00573629"/>
    <w:rsid w:val="005A4CC4"/>
    <w:rsid w:val="005C63E4"/>
    <w:rsid w:val="005F2475"/>
    <w:rsid w:val="005F6599"/>
    <w:rsid w:val="00633E11"/>
    <w:rsid w:val="0063507E"/>
    <w:rsid w:val="00641282"/>
    <w:rsid w:val="006512CC"/>
    <w:rsid w:val="00653F70"/>
    <w:rsid w:val="00655D2E"/>
    <w:rsid w:val="00657665"/>
    <w:rsid w:val="00657C2C"/>
    <w:rsid w:val="006640CF"/>
    <w:rsid w:val="0068246A"/>
    <w:rsid w:val="0068468E"/>
    <w:rsid w:val="00692AA1"/>
    <w:rsid w:val="00697866"/>
    <w:rsid w:val="006A305D"/>
    <w:rsid w:val="006C294F"/>
    <w:rsid w:val="006D65A3"/>
    <w:rsid w:val="006E6285"/>
    <w:rsid w:val="006F3917"/>
    <w:rsid w:val="006F768C"/>
    <w:rsid w:val="007026B0"/>
    <w:rsid w:val="00703BBA"/>
    <w:rsid w:val="0071074F"/>
    <w:rsid w:val="00713AC5"/>
    <w:rsid w:val="0072210C"/>
    <w:rsid w:val="00722D64"/>
    <w:rsid w:val="0074274B"/>
    <w:rsid w:val="00760EED"/>
    <w:rsid w:val="0077311F"/>
    <w:rsid w:val="00783230"/>
    <w:rsid w:val="0079074F"/>
    <w:rsid w:val="007A5829"/>
    <w:rsid w:val="007D0CFC"/>
    <w:rsid w:val="007E4C72"/>
    <w:rsid w:val="00803D26"/>
    <w:rsid w:val="008152DE"/>
    <w:rsid w:val="008155A7"/>
    <w:rsid w:val="00833A7F"/>
    <w:rsid w:val="008420D7"/>
    <w:rsid w:val="00847D58"/>
    <w:rsid w:val="008508CC"/>
    <w:rsid w:val="00864DB1"/>
    <w:rsid w:val="00887078"/>
    <w:rsid w:val="008E0A8B"/>
    <w:rsid w:val="008F387E"/>
    <w:rsid w:val="00906800"/>
    <w:rsid w:val="00920EEF"/>
    <w:rsid w:val="00951DCA"/>
    <w:rsid w:val="009556E4"/>
    <w:rsid w:val="00972173"/>
    <w:rsid w:val="00972EF9"/>
    <w:rsid w:val="00974D15"/>
    <w:rsid w:val="00976EE5"/>
    <w:rsid w:val="00977BBC"/>
    <w:rsid w:val="0098047E"/>
    <w:rsid w:val="00990A5F"/>
    <w:rsid w:val="009A079B"/>
    <w:rsid w:val="009A49AC"/>
    <w:rsid w:val="009A66AD"/>
    <w:rsid w:val="009A7A67"/>
    <w:rsid w:val="009C3E7C"/>
    <w:rsid w:val="009D1157"/>
    <w:rsid w:val="009D2FAA"/>
    <w:rsid w:val="009F1DF5"/>
    <w:rsid w:val="00A0709D"/>
    <w:rsid w:val="00A2380F"/>
    <w:rsid w:val="00A320D9"/>
    <w:rsid w:val="00A3615E"/>
    <w:rsid w:val="00A4753E"/>
    <w:rsid w:val="00A62F0B"/>
    <w:rsid w:val="00A85DF1"/>
    <w:rsid w:val="00AA2F08"/>
    <w:rsid w:val="00AA496F"/>
    <w:rsid w:val="00AB3BF0"/>
    <w:rsid w:val="00AB4DAA"/>
    <w:rsid w:val="00AD3E2B"/>
    <w:rsid w:val="00AD74C9"/>
    <w:rsid w:val="00B315E0"/>
    <w:rsid w:val="00B34C0D"/>
    <w:rsid w:val="00B425B6"/>
    <w:rsid w:val="00B54F61"/>
    <w:rsid w:val="00B62D68"/>
    <w:rsid w:val="00B653A2"/>
    <w:rsid w:val="00B67B49"/>
    <w:rsid w:val="00B97CC0"/>
    <w:rsid w:val="00BA32EB"/>
    <w:rsid w:val="00BB2E43"/>
    <w:rsid w:val="00BC289C"/>
    <w:rsid w:val="00BC4611"/>
    <w:rsid w:val="00BF3343"/>
    <w:rsid w:val="00BF45C2"/>
    <w:rsid w:val="00C1464F"/>
    <w:rsid w:val="00C15021"/>
    <w:rsid w:val="00C212AE"/>
    <w:rsid w:val="00C21505"/>
    <w:rsid w:val="00C21DC4"/>
    <w:rsid w:val="00C235F8"/>
    <w:rsid w:val="00C23C4C"/>
    <w:rsid w:val="00C30729"/>
    <w:rsid w:val="00C54197"/>
    <w:rsid w:val="00C559F0"/>
    <w:rsid w:val="00C62DB4"/>
    <w:rsid w:val="00C82CB3"/>
    <w:rsid w:val="00C90D6E"/>
    <w:rsid w:val="00CA32E9"/>
    <w:rsid w:val="00CC247E"/>
    <w:rsid w:val="00CC33FD"/>
    <w:rsid w:val="00CD39C7"/>
    <w:rsid w:val="00CE1007"/>
    <w:rsid w:val="00CE7822"/>
    <w:rsid w:val="00CF0B7F"/>
    <w:rsid w:val="00CF1793"/>
    <w:rsid w:val="00CF38D3"/>
    <w:rsid w:val="00CF4BD5"/>
    <w:rsid w:val="00CF7763"/>
    <w:rsid w:val="00D0192E"/>
    <w:rsid w:val="00D05D44"/>
    <w:rsid w:val="00D06862"/>
    <w:rsid w:val="00D132B8"/>
    <w:rsid w:val="00D156A3"/>
    <w:rsid w:val="00D33EB4"/>
    <w:rsid w:val="00D420CB"/>
    <w:rsid w:val="00D5412D"/>
    <w:rsid w:val="00D817C7"/>
    <w:rsid w:val="00DA48C2"/>
    <w:rsid w:val="00DA6147"/>
    <w:rsid w:val="00DB1E15"/>
    <w:rsid w:val="00DB2480"/>
    <w:rsid w:val="00DC5A77"/>
    <w:rsid w:val="00DD1986"/>
    <w:rsid w:val="00DD2E5C"/>
    <w:rsid w:val="00DE43F4"/>
    <w:rsid w:val="00DE5269"/>
    <w:rsid w:val="00DE70FF"/>
    <w:rsid w:val="00DE7609"/>
    <w:rsid w:val="00DF21E4"/>
    <w:rsid w:val="00E06944"/>
    <w:rsid w:val="00E12493"/>
    <w:rsid w:val="00E12AD9"/>
    <w:rsid w:val="00E14CCB"/>
    <w:rsid w:val="00E2671D"/>
    <w:rsid w:val="00E31B06"/>
    <w:rsid w:val="00E43547"/>
    <w:rsid w:val="00E44C85"/>
    <w:rsid w:val="00E6471E"/>
    <w:rsid w:val="00EB06CE"/>
    <w:rsid w:val="00ED615E"/>
    <w:rsid w:val="00EE15E4"/>
    <w:rsid w:val="00EE5F10"/>
    <w:rsid w:val="00EF52EF"/>
    <w:rsid w:val="00EF7F44"/>
    <w:rsid w:val="00F01428"/>
    <w:rsid w:val="00F03534"/>
    <w:rsid w:val="00F0762A"/>
    <w:rsid w:val="00F21F28"/>
    <w:rsid w:val="00F32C59"/>
    <w:rsid w:val="00F62EC0"/>
    <w:rsid w:val="00F84B57"/>
    <w:rsid w:val="00F84F99"/>
    <w:rsid w:val="00F92FF7"/>
    <w:rsid w:val="00F932D8"/>
    <w:rsid w:val="00FB2E7A"/>
    <w:rsid w:val="00FB72E6"/>
    <w:rsid w:val="00FC3315"/>
    <w:rsid w:val="00FD0263"/>
    <w:rsid w:val="00FD5FBA"/>
    <w:rsid w:val="00FF6C86"/>
    <w:rsid w:val="0201ED30"/>
    <w:rsid w:val="03878A8C"/>
    <w:rsid w:val="039DD15B"/>
    <w:rsid w:val="05493ACD"/>
    <w:rsid w:val="056FF868"/>
    <w:rsid w:val="08B3855D"/>
    <w:rsid w:val="091DFC82"/>
    <w:rsid w:val="0BAA5D15"/>
    <w:rsid w:val="11EB32D5"/>
    <w:rsid w:val="1342245B"/>
    <w:rsid w:val="14051217"/>
    <w:rsid w:val="163F8433"/>
    <w:rsid w:val="168BBFA5"/>
    <w:rsid w:val="1A7D02BB"/>
    <w:rsid w:val="1E986FB9"/>
    <w:rsid w:val="1F497164"/>
    <w:rsid w:val="20A69D0F"/>
    <w:rsid w:val="20F4C7BF"/>
    <w:rsid w:val="2179EF45"/>
    <w:rsid w:val="2C650CFF"/>
    <w:rsid w:val="35633B35"/>
    <w:rsid w:val="36296273"/>
    <w:rsid w:val="37C57258"/>
    <w:rsid w:val="3B4E1F7C"/>
    <w:rsid w:val="3FB9F30C"/>
    <w:rsid w:val="42D31C31"/>
    <w:rsid w:val="43912156"/>
    <w:rsid w:val="4AE241F3"/>
    <w:rsid w:val="4B032A02"/>
    <w:rsid w:val="5348E273"/>
    <w:rsid w:val="55E7EAAE"/>
    <w:rsid w:val="592066CC"/>
    <w:rsid w:val="5CE166B1"/>
    <w:rsid w:val="63D6D76D"/>
    <w:rsid w:val="6572D0E7"/>
    <w:rsid w:val="697F1591"/>
    <w:rsid w:val="6EE6F334"/>
    <w:rsid w:val="702D5C18"/>
    <w:rsid w:val="72EDCCDA"/>
    <w:rsid w:val="7624FCDF"/>
    <w:rsid w:val="7E40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9D"/>
    <w:pPr>
      <w:spacing w:before="120" w:after="12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1E"/>
    <w:pPr>
      <w:keepNext/>
      <w:keepLines/>
      <w:spacing w:before="240" w:after="240"/>
      <w:outlineLvl w:val="0"/>
    </w:pPr>
    <w:rPr>
      <w:rFonts w:ascii="Georgia" w:eastAsiaTheme="majorEastAsia" w:hAnsi="Georgia" w:cstheme="majorBidi"/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1E"/>
    <w:pPr>
      <w:keepNext/>
      <w:keepLines/>
      <w:outlineLvl w:val="1"/>
    </w:pPr>
    <w:rPr>
      <w:rFonts w:ascii="Georgia" w:eastAsiaTheme="majorEastAsia" w:hAnsi="Georgia" w:cstheme="majorBidi"/>
      <w:b/>
      <w:bCs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6471E"/>
    <w:rPr>
      <w:rFonts w:ascii="Georgia" w:eastAsiaTheme="majorEastAsia" w:hAnsi="Georgia" w:cstheme="majorBidi"/>
      <w:b/>
      <w:bCs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471E"/>
    <w:rPr>
      <w:rFonts w:ascii="Georgia" w:eastAsiaTheme="majorEastAsia" w:hAnsi="Georgia" w:cstheme="majorBidi"/>
      <w:b/>
      <w:bCs/>
      <w:color w:val="002060"/>
      <w:sz w:val="28"/>
      <w:szCs w:val="28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115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8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2E4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E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al-start-end-time-data-10">
    <w:name w:val="cal-start-end-time-data-10"/>
    <w:basedOn w:val="DefaultParagraphFont"/>
    <w:rsid w:val="00BB2E43"/>
  </w:style>
  <w:style w:type="character" w:styleId="FollowedHyperlink">
    <w:name w:val="FollowedHyperlink"/>
    <w:basedOn w:val="DefaultParagraphFont"/>
    <w:uiPriority w:val="99"/>
    <w:semiHidden/>
    <w:unhideWhenUsed/>
    <w:rsid w:val="001D5942"/>
    <w:rPr>
      <w:color w:val="954F72" w:themeColor="followedHyperlink"/>
      <w:u w:val="single"/>
    </w:rPr>
  </w:style>
  <w:style w:type="paragraph" w:customStyle="1" w:styleId="Default">
    <w:name w:val="Default"/>
    <w:rsid w:val="00920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0B37D7"/>
  </w:style>
  <w:style w:type="paragraph" w:customStyle="1" w:styleId="paragraph">
    <w:name w:val="paragraph"/>
    <w:basedOn w:val="Normal"/>
    <w:rsid w:val="00D5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412D"/>
  </w:style>
  <w:style w:type="character" w:customStyle="1" w:styleId="eop">
    <w:name w:val="eop"/>
    <w:basedOn w:val="DefaultParagraphFont"/>
    <w:rsid w:val="00D5412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20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7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7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7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76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harms.com/about-us/news/details/new-rps-project-investigates-medicines-shortages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bsac-kaw.co.uk%2F&amp;data=05%7C01%7Cmark.gilchrist1%40nhs.net%7Cc8d3f8daf65242d2c6ee08daf9676eaf%7C37c354b285b047f5b22207b48d774ee3%7C0%7C1%7C638096520354404453%7CUnknown%7CTWFpbGZsb3d8eyJWIjoiMC4wLjAwMDAiLCJQIjoiV2luMzIiLCJBTiI6Ik1haWwiLCJXVCI6Mn0%3D%7C0%7C%7C%7C&amp;sdata=JafDqFLClFn%2F0uWhhKqNlztQsOwowXtiS5RaTyj%2B5Gc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pharms.com/ev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Rebecca Braybrooks</cp:lastModifiedBy>
  <cp:revision>4</cp:revision>
  <dcterms:created xsi:type="dcterms:W3CDTF">2024-04-30T11:49:00Z</dcterms:created>
  <dcterms:modified xsi:type="dcterms:W3CDTF">2024-05-02T13:45:00Z</dcterms:modified>
</cp:coreProperties>
</file>