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0E04" w14:textId="13B06609" w:rsidR="0025255B" w:rsidRPr="009426CA" w:rsidRDefault="00FF460D" w:rsidP="00FF460D">
      <w:pPr>
        <w:jc w:val="center"/>
        <w:rPr>
          <w:rFonts w:ascii="Arial" w:hAnsi="Arial" w:cs="Arial"/>
          <w:b/>
          <w:bCs/>
        </w:rPr>
      </w:pPr>
      <w:r w:rsidRPr="009426CA">
        <w:rPr>
          <w:rFonts w:ascii="Arial" w:hAnsi="Arial" w:cs="Arial"/>
          <w:b/>
          <w:bCs/>
        </w:rPr>
        <w:t>Women and Equalities Committee: Call for evidence on Reproductive health conditions: Girls and Young Women</w:t>
      </w:r>
    </w:p>
    <w:p w14:paraId="3A11155F" w14:textId="44A24440" w:rsidR="00FF460D" w:rsidRPr="009426CA" w:rsidRDefault="00FF460D" w:rsidP="00FF460D">
      <w:pPr>
        <w:jc w:val="center"/>
        <w:rPr>
          <w:rFonts w:ascii="Arial" w:hAnsi="Arial" w:cs="Arial"/>
          <w:b/>
          <w:bCs/>
        </w:rPr>
      </w:pPr>
      <w:r w:rsidRPr="009426CA">
        <w:rPr>
          <w:rFonts w:ascii="Arial" w:hAnsi="Arial" w:cs="Arial"/>
          <w:b/>
          <w:bCs/>
        </w:rPr>
        <w:t>R</w:t>
      </w:r>
      <w:r w:rsidR="009426CA" w:rsidRPr="009426CA">
        <w:rPr>
          <w:rFonts w:ascii="Arial" w:hAnsi="Arial" w:cs="Arial"/>
          <w:b/>
          <w:bCs/>
        </w:rPr>
        <w:t>oyal Pharmaceutical Society</w:t>
      </w:r>
      <w:r w:rsidRPr="009426CA">
        <w:rPr>
          <w:rFonts w:ascii="Arial" w:hAnsi="Arial" w:cs="Arial"/>
          <w:b/>
          <w:bCs/>
        </w:rPr>
        <w:t xml:space="preserve"> response</w:t>
      </w:r>
    </w:p>
    <w:p w14:paraId="3023315A" w14:textId="77777777" w:rsidR="009426CA" w:rsidRPr="009426CA" w:rsidRDefault="009426CA" w:rsidP="009426CA">
      <w:pPr>
        <w:rPr>
          <w:rFonts w:ascii="Arial" w:hAnsi="Arial" w:cs="Arial"/>
          <w:b/>
          <w:bCs/>
        </w:rPr>
      </w:pPr>
    </w:p>
    <w:p w14:paraId="2F7950A5" w14:textId="237DA850" w:rsidR="009426CA" w:rsidRPr="009426CA" w:rsidRDefault="009426CA" w:rsidP="009426CA">
      <w:pPr>
        <w:pStyle w:val="ListParagraph"/>
        <w:numPr>
          <w:ilvl w:val="0"/>
          <w:numId w:val="13"/>
        </w:numPr>
        <w:rPr>
          <w:rFonts w:ascii="Arial" w:hAnsi="Arial" w:cs="Arial"/>
          <w:sz w:val="20"/>
          <w:szCs w:val="20"/>
        </w:rPr>
      </w:pPr>
      <w:r w:rsidRPr="009426CA">
        <w:rPr>
          <w:rFonts w:ascii="Arial" w:hAnsi="Arial" w:cs="Arial"/>
          <w:sz w:val="20"/>
          <w:szCs w:val="20"/>
        </w:rPr>
        <w:t xml:space="preserve">The Royal </w:t>
      </w:r>
      <w:r w:rsidRPr="009426CA">
        <w:rPr>
          <w:rFonts w:ascii="Arial" w:hAnsi="Arial" w:cs="Arial"/>
          <w:sz w:val="20"/>
          <w:szCs w:val="20"/>
        </w:rPr>
        <w:t>Pharmaceutical Society is the professional body for pharmacists and pharmaceutical scientists. Our members work across primary and secondary care in the NHS, as well as in industry and education. Pharmacy is the third largest health profession after medicine and nursing, with more than 65,000 pharmacists and 27,000 pharmacy technicians on the General Pharmaceutical Council register.</w:t>
      </w:r>
    </w:p>
    <w:p w14:paraId="0B3F1459"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Provision of effective education and quality information for girls and women on what constitutes a normal period, awareness of female reproductive health conditions and when and how to seek support. </w:t>
      </w:r>
    </w:p>
    <w:p w14:paraId="49F20791" w14:textId="7523B91A" w:rsidR="00FF460D" w:rsidRDefault="758ABF8B" w:rsidP="009426CA">
      <w:pPr>
        <w:pStyle w:val="ListParagraph"/>
        <w:numPr>
          <w:ilvl w:val="0"/>
          <w:numId w:val="13"/>
        </w:numPr>
        <w:rPr>
          <w:rFonts w:ascii="Arial" w:hAnsi="Arial" w:cs="Arial"/>
          <w:sz w:val="20"/>
          <w:szCs w:val="20"/>
        </w:rPr>
      </w:pPr>
      <w:r w:rsidRPr="009426CA">
        <w:rPr>
          <w:rFonts w:ascii="Arial" w:hAnsi="Arial" w:cs="Arial"/>
          <w:sz w:val="20"/>
          <w:szCs w:val="20"/>
        </w:rPr>
        <w:t>Cultural sensitivity can play a significant part in terms of information and education. If we take female genital mutilation as an example there is a fear from healthcare professionals who may wish to raise the issue, as being seen as culturally insensitive. This may mean that healthcare professionals avoid having these difficult conversations. Healthcare professionals should be supported to have these types of conversations.</w:t>
      </w:r>
    </w:p>
    <w:p w14:paraId="070EABC8" w14:textId="77777777" w:rsidR="009426CA" w:rsidRPr="009426CA" w:rsidRDefault="009426CA" w:rsidP="009426CA">
      <w:pPr>
        <w:pStyle w:val="ListParagraph"/>
        <w:rPr>
          <w:rFonts w:ascii="Arial" w:hAnsi="Arial" w:cs="Arial"/>
          <w:sz w:val="20"/>
          <w:szCs w:val="20"/>
        </w:rPr>
      </w:pPr>
    </w:p>
    <w:p w14:paraId="656E6D70" w14:textId="3AF49272" w:rsidR="758ABF8B" w:rsidRPr="009426CA" w:rsidRDefault="758ABF8B" w:rsidP="009426CA">
      <w:pPr>
        <w:pStyle w:val="ListParagraph"/>
        <w:numPr>
          <w:ilvl w:val="0"/>
          <w:numId w:val="13"/>
        </w:numPr>
        <w:rPr>
          <w:rFonts w:ascii="Arial" w:hAnsi="Arial" w:cs="Arial"/>
          <w:sz w:val="20"/>
          <w:szCs w:val="20"/>
        </w:rPr>
      </w:pPr>
      <w:r w:rsidRPr="009426CA">
        <w:rPr>
          <w:rFonts w:ascii="Arial" w:hAnsi="Arial" w:cs="Arial"/>
          <w:sz w:val="20"/>
          <w:szCs w:val="20"/>
        </w:rPr>
        <w:t>There should be national and system-level action to ensure the availability of high-quality educational resources and information throughout the care pathway. This should include both digital resources and physical leaflets covering different female reproductive health conditions and contraceptive methods. Content must clearly explain how methods work, outline potential side effects, and highlight the contraceptive methods that may also help women to manage reproductive health conditions. Guidance should also be provided on how and where women can access services for reproductive health conditions and contraception, alongside signposting to further information. To be effective and inclusive, resources should be written in simple English, translated into relevant languages, and feature representation from healthcare professionals and reproductive health users from diverse background, helping to reduce stigma and build trust.</w:t>
      </w:r>
    </w:p>
    <w:p w14:paraId="0DFC63B1"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Protocols and training to raise awareness in the healthcare sector about girls’ and women’s reproductive health and to ensure healthcare professionals listen to girls and women with empathy and provide appropriate information and advice. </w:t>
      </w:r>
    </w:p>
    <w:p w14:paraId="4E9DB149" w14:textId="5F3E914F" w:rsidR="00FF460D" w:rsidRDefault="00FF460D" w:rsidP="009426CA">
      <w:pPr>
        <w:pStyle w:val="ListParagraph"/>
        <w:numPr>
          <w:ilvl w:val="0"/>
          <w:numId w:val="13"/>
        </w:numPr>
        <w:rPr>
          <w:rFonts w:ascii="Arial" w:hAnsi="Arial" w:cs="Arial"/>
          <w:sz w:val="20"/>
          <w:szCs w:val="20"/>
        </w:rPr>
      </w:pPr>
      <w:r w:rsidRPr="009426CA">
        <w:rPr>
          <w:rFonts w:ascii="Arial" w:hAnsi="Arial" w:cs="Arial"/>
          <w:sz w:val="20"/>
          <w:szCs w:val="20"/>
        </w:rPr>
        <w:t xml:space="preserve">As the complexity of women’s health increases it is difficult for those healthcare professionals in generalist roles, such as GPs and community pharmacists, to understand </w:t>
      </w:r>
      <w:r w:rsidR="009426CA" w:rsidRPr="009426CA">
        <w:rPr>
          <w:rFonts w:ascii="Arial" w:hAnsi="Arial" w:cs="Arial"/>
          <w:sz w:val="20"/>
          <w:szCs w:val="20"/>
        </w:rPr>
        <w:t>all</w:t>
      </w:r>
      <w:r w:rsidRPr="009426CA">
        <w:rPr>
          <w:rFonts w:ascii="Arial" w:hAnsi="Arial" w:cs="Arial"/>
          <w:sz w:val="20"/>
          <w:szCs w:val="20"/>
        </w:rPr>
        <w:t xml:space="preserve"> the issues. Those working in generalist roles need to be supported by the specialists in their local systems. Professionals across a system must work together more closely so they are not working in isolation and can speak to colleagues who may have more specialist knowledge in these areas.  </w:t>
      </w:r>
    </w:p>
    <w:p w14:paraId="42706DF0" w14:textId="77777777" w:rsidR="009426CA" w:rsidRPr="009426CA" w:rsidRDefault="009426CA" w:rsidP="009426CA">
      <w:pPr>
        <w:pStyle w:val="ListParagraph"/>
        <w:rPr>
          <w:rFonts w:ascii="Arial" w:hAnsi="Arial" w:cs="Arial"/>
          <w:sz w:val="20"/>
          <w:szCs w:val="20"/>
        </w:rPr>
      </w:pPr>
    </w:p>
    <w:p w14:paraId="38F5DB8F" w14:textId="77777777" w:rsidR="009426CA" w:rsidRDefault="0A7C9F7C" w:rsidP="009426CA">
      <w:pPr>
        <w:pStyle w:val="ListParagraph"/>
        <w:numPr>
          <w:ilvl w:val="0"/>
          <w:numId w:val="13"/>
        </w:numPr>
        <w:rPr>
          <w:rFonts w:ascii="Arial" w:hAnsi="Arial" w:cs="Arial"/>
          <w:sz w:val="20"/>
          <w:szCs w:val="20"/>
        </w:rPr>
      </w:pPr>
      <w:r w:rsidRPr="009426CA">
        <w:rPr>
          <w:rFonts w:ascii="Arial" w:hAnsi="Arial" w:cs="Arial"/>
          <w:sz w:val="20"/>
          <w:szCs w:val="20"/>
        </w:rPr>
        <w:t>Another question is around how we make women aware of the services that are available to them and then empower them to use the services they need. In some instances, language can be a barrier. Over recent years there have been big advancements in translation services. In some areas, though, this can be difficult as the translator could often be a family member, or someone from the same community which may make it difficult for the woman to raise sensitive issues.</w:t>
      </w:r>
    </w:p>
    <w:p w14:paraId="4AF4DB95" w14:textId="77777777" w:rsidR="009426CA" w:rsidRPr="009426CA" w:rsidRDefault="009426CA" w:rsidP="009426CA">
      <w:pPr>
        <w:pStyle w:val="ListParagraph"/>
        <w:rPr>
          <w:rFonts w:ascii="Arial" w:hAnsi="Arial" w:cs="Arial"/>
          <w:sz w:val="20"/>
          <w:szCs w:val="20"/>
        </w:rPr>
      </w:pPr>
    </w:p>
    <w:p w14:paraId="5BC53208" w14:textId="6E366CB9" w:rsidR="00FF460D" w:rsidRPr="009426CA" w:rsidRDefault="0A7C9F7C" w:rsidP="009426CA">
      <w:pPr>
        <w:pStyle w:val="ListParagraph"/>
        <w:rPr>
          <w:rFonts w:ascii="Arial" w:hAnsi="Arial" w:cs="Arial"/>
          <w:sz w:val="20"/>
          <w:szCs w:val="20"/>
        </w:rPr>
      </w:pPr>
      <w:r w:rsidRPr="009426CA">
        <w:rPr>
          <w:rFonts w:ascii="Arial" w:hAnsi="Arial" w:cs="Arial"/>
          <w:sz w:val="20"/>
          <w:szCs w:val="20"/>
        </w:rPr>
        <w:t>  </w:t>
      </w:r>
    </w:p>
    <w:p w14:paraId="430A91A2" w14:textId="100E3FAB" w:rsidR="0A7C9F7C" w:rsidRDefault="0A7C9F7C" w:rsidP="009426CA">
      <w:pPr>
        <w:pStyle w:val="ListParagraph"/>
        <w:numPr>
          <w:ilvl w:val="0"/>
          <w:numId w:val="13"/>
        </w:numPr>
        <w:rPr>
          <w:rFonts w:ascii="Arial" w:hAnsi="Arial" w:cs="Arial"/>
          <w:sz w:val="20"/>
          <w:szCs w:val="20"/>
        </w:rPr>
      </w:pPr>
      <w:r w:rsidRPr="009426CA">
        <w:rPr>
          <w:rFonts w:ascii="Arial" w:hAnsi="Arial" w:cs="Arial"/>
          <w:sz w:val="20"/>
          <w:szCs w:val="20"/>
        </w:rPr>
        <w:lastRenderedPageBreak/>
        <w:t>Healthcare professionals are of critical importance to providing counselling to girls and young women about the role of LARC in supporting reproductive health and signposting them to LARC fitting services. There must also be a sufficient LARC-trained workforce to ensure contraceptive services are accessible to all women who would prefer this method.</w:t>
      </w:r>
    </w:p>
    <w:p w14:paraId="45DB6838" w14:textId="77777777" w:rsidR="009426CA" w:rsidRPr="009426CA" w:rsidRDefault="009426CA" w:rsidP="009426CA">
      <w:pPr>
        <w:pStyle w:val="ListParagraph"/>
        <w:rPr>
          <w:rFonts w:ascii="Arial" w:hAnsi="Arial" w:cs="Arial"/>
          <w:sz w:val="20"/>
          <w:szCs w:val="20"/>
        </w:rPr>
      </w:pPr>
    </w:p>
    <w:p w14:paraId="0CAEBE7D" w14:textId="4EB0A4BC" w:rsidR="00FF460D" w:rsidRDefault="00FF460D" w:rsidP="009426CA">
      <w:pPr>
        <w:pStyle w:val="ListParagraph"/>
        <w:numPr>
          <w:ilvl w:val="0"/>
          <w:numId w:val="13"/>
        </w:numPr>
        <w:rPr>
          <w:rFonts w:ascii="Arial" w:hAnsi="Arial" w:cs="Arial"/>
          <w:sz w:val="20"/>
          <w:szCs w:val="20"/>
        </w:rPr>
      </w:pPr>
      <w:r w:rsidRPr="009426CA">
        <w:rPr>
          <w:rFonts w:ascii="Arial" w:hAnsi="Arial" w:cs="Arial"/>
          <w:sz w:val="20"/>
          <w:szCs w:val="20"/>
        </w:rPr>
        <w:t>In terms of exploring women’s health issues and being better at addressing them, the transgender population also need to be considered. </w:t>
      </w:r>
    </w:p>
    <w:p w14:paraId="47E7A08C" w14:textId="77777777" w:rsidR="009426CA" w:rsidRPr="009426CA" w:rsidRDefault="009426CA" w:rsidP="009426CA">
      <w:pPr>
        <w:pStyle w:val="ListParagraph"/>
        <w:rPr>
          <w:rFonts w:ascii="Arial" w:hAnsi="Arial" w:cs="Arial"/>
          <w:sz w:val="20"/>
          <w:szCs w:val="20"/>
        </w:rPr>
      </w:pPr>
    </w:p>
    <w:p w14:paraId="615AB744" w14:textId="59AB69FA" w:rsidR="00FF460D" w:rsidRDefault="00FF460D" w:rsidP="009426CA">
      <w:pPr>
        <w:pStyle w:val="ListParagraph"/>
        <w:numPr>
          <w:ilvl w:val="0"/>
          <w:numId w:val="13"/>
        </w:numPr>
        <w:rPr>
          <w:rFonts w:ascii="Arial" w:hAnsi="Arial" w:cs="Arial"/>
          <w:sz w:val="20"/>
          <w:szCs w:val="20"/>
        </w:rPr>
      </w:pPr>
      <w:r w:rsidRPr="009426CA">
        <w:rPr>
          <w:rFonts w:ascii="Arial" w:hAnsi="Arial" w:cs="Arial"/>
          <w:sz w:val="20"/>
          <w:szCs w:val="20"/>
        </w:rPr>
        <w:t>Pharmacists have a good skill set in terms of critical analysis and have a good understanding of medicines and how they should be used. These skills could be utilised more widely so that pharmacists could have a role in being a critical friend to both patients and within the MDT to advise on different paths and routes available. Pharmacists need to be part of MDT and be encouraged to share their important perspective in explaining all the options available to women in their care. Pharmacists spend time understanding and triangulating data on risk / benefit balance. This is a unique skill amongst healthcare professionals and should be utilised more widely in terms of women’s health. </w:t>
      </w:r>
    </w:p>
    <w:p w14:paraId="1D6327F8" w14:textId="77777777" w:rsidR="009426CA" w:rsidRPr="009426CA" w:rsidRDefault="009426CA" w:rsidP="009426CA">
      <w:pPr>
        <w:pStyle w:val="ListParagraph"/>
        <w:rPr>
          <w:rFonts w:ascii="Arial" w:hAnsi="Arial" w:cs="Arial"/>
          <w:sz w:val="20"/>
          <w:szCs w:val="20"/>
        </w:rPr>
      </w:pPr>
    </w:p>
    <w:p w14:paraId="2C00B50F" w14:textId="01CEFAB7" w:rsidR="00FF460D" w:rsidRDefault="00FF460D" w:rsidP="009426CA">
      <w:pPr>
        <w:pStyle w:val="ListParagraph"/>
        <w:numPr>
          <w:ilvl w:val="0"/>
          <w:numId w:val="13"/>
        </w:numPr>
        <w:rPr>
          <w:rFonts w:ascii="Arial" w:hAnsi="Arial" w:cs="Arial"/>
          <w:sz w:val="20"/>
          <w:szCs w:val="20"/>
        </w:rPr>
      </w:pPr>
      <w:r w:rsidRPr="009426CA">
        <w:rPr>
          <w:rFonts w:ascii="Arial" w:hAnsi="Arial" w:cs="Arial"/>
          <w:sz w:val="20"/>
          <w:szCs w:val="20"/>
        </w:rPr>
        <w:t>It can often be difficult for healthcare professionals to find the relevant information, for example whether food, drugs/supplements can affect fertility or those trying to get pregnant. This information needs to be made more widely available. </w:t>
      </w:r>
    </w:p>
    <w:p w14:paraId="547A6FC2" w14:textId="77777777" w:rsidR="009426CA" w:rsidRPr="009426CA" w:rsidRDefault="009426CA" w:rsidP="009426CA">
      <w:pPr>
        <w:pStyle w:val="ListParagraph"/>
        <w:rPr>
          <w:rFonts w:ascii="Arial" w:hAnsi="Arial" w:cs="Arial"/>
          <w:sz w:val="20"/>
          <w:szCs w:val="20"/>
        </w:rPr>
      </w:pPr>
    </w:p>
    <w:p w14:paraId="325A8B8D" w14:textId="25F4AFB6" w:rsidR="009426CA" w:rsidRPr="009426CA" w:rsidRDefault="00FF460D" w:rsidP="00C10085">
      <w:pPr>
        <w:pStyle w:val="ListParagraph"/>
        <w:numPr>
          <w:ilvl w:val="0"/>
          <w:numId w:val="13"/>
        </w:numPr>
        <w:rPr>
          <w:rFonts w:ascii="Arial" w:hAnsi="Arial" w:cs="Arial"/>
          <w:sz w:val="20"/>
          <w:szCs w:val="20"/>
        </w:rPr>
      </w:pPr>
      <w:r w:rsidRPr="009426CA">
        <w:rPr>
          <w:rFonts w:ascii="Arial" w:hAnsi="Arial" w:cs="Arial"/>
          <w:sz w:val="20"/>
          <w:szCs w:val="20"/>
        </w:rPr>
        <w:t>It is also very important to gather data for specific groups such as use of medicines in pregnancy and breastfeeding</w:t>
      </w:r>
      <w:r w:rsidR="009426CA" w:rsidRPr="009426CA">
        <w:rPr>
          <w:rFonts w:ascii="Arial" w:hAnsi="Arial" w:cs="Arial"/>
          <w:sz w:val="20"/>
          <w:szCs w:val="20"/>
        </w:rPr>
        <w:t>.</w:t>
      </w:r>
    </w:p>
    <w:p w14:paraId="322ED173" w14:textId="095775E1" w:rsidR="00FF460D" w:rsidRPr="009426CA" w:rsidRDefault="00FF460D" w:rsidP="009426CA">
      <w:pPr>
        <w:pStyle w:val="ListParagraph"/>
        <w:rPr>
          <w:rFonts w:ascii="Arial" w:hAnsi="Arial" w:cs="Arial"/>
          <w:sz w:val="20"/>
          <w:szCs w:val="20"/>
        </w:rPr>
      </w:pPr>
    </w:p>
    <w:p w14:paraId="4925E9D1" w14:textId="47B7A1AB" w:rsidR="00FF460D" w:rsidRDefault="4CF1DB0B" w:rsidP="009426CA">
      <w:pPr>
        <w:pStyle w:val="ListParagraph"/>
        <w:numPr>
          <w:ilvl w:val="0"/>
          <w:numId w:val="13"/>
        </w:numPr>
        <w:rPr>
          <w:rFonts w:ascii="Arial" w:hAnsi="Arial" w:cs="Arial"/>
          <w:sz w:val="20"/>
          <w:szCs w:val="20"/>
        </w:rPr>
      </w:pPr>
      <w:r w:rsidRPr="009426CA">
        <w:rPr>
          <w:rFonts w:ascii="Arial" w:hAnsi="Arial" w:cs="Arial"/>
          <w:sz w:val="20"/>
          <w:szCs w:val="20"/>
        </w:rPr>
        <w:t>It is important that healthcare practitioners understand female specific</w:t>
      </w:r>
      <w:r w:rsidR="009426CA" w:rsidRPr="009426CA">
        <w:rPr>
          <w:rFonts w:ascii="Arial" w:hAnsi="Arial" w:cs="Arial"/>
          <w:sz w:val="20"/>
          <w:szCs w:val="20"/>
        </w:rPr>
        <w:t xml:space="preserve"> </w:t>
      </w:r>
      <w:r w:rsidRPr="009426CA">
        <w:rPr>
          <w:rFonts w:ascii="Arial" w:hAnsi="Arial" w:cs="Arial"/>
          <w:sz w:val="20"/>
          <w:szCs w:val="20"/>
        </w:rPr>
        <w:t>symptoms and recognise them, particularly for conditions like ovarian cancer which is quite a common problem but often detected too late. </w:t>
      </w:r>
    </w:p>
    <w:p w14:paraId="101F3452" w14:textId="77777777" w:rsidR="009426CA" w:rsidRPr="009426CA" w:rsidRDefault="009426CA" w:rsidP="009426CA">
      <w:pPr>
        <w:pStyle w:val="ListParagraph"/>
        <w:rPr>
          <w:rFonts w:ascii="Arial" w:hAnsi="Arial" w:cs="Arial"/>
          <w:sz w:val="20"/>
          <w:szCs w:val="20"/>
        </w:rPr>
      </w:pPr>
    </w:p>
    <w:p w14:paraId="2FF2F19F" w14:textId="0415F002" w:rsidR="00FF460D" w:rsidRPr="009426CA" w:rsidRDefault="4CF1DB0B" w:rsidP="009426CA">
      <w:pPr>
        <w:pStyle w:val="ListParagraph"/>
        <w:numPr>
          <w:ilvl w:val="0"/>
          <w:numId w:val="13"/>
        </w:numPr>
        <w:rPr>
          <w:rFonts w:ascii="Arial" w:hAnsi="Arial" w:cs="Arial"/>
          <w:sz w:val="20"/>
          <w:szCs w:val="20"/>
        </w:rPr>
      </w:pPr>
      <w:r w:rsidRPr="009426CA">
        <w:rPr>
          <w:rFonts w:ascii="Arial" w:eastAsia="Aptos" w:hAnsi="Arial" w:cs="Arial"/>
          <w:sz w:val="20"/>
          <w:szCs w:val="20"/>
        </w:rPr>
        <w:t>Community pharmacists are well positioned to recognise patterns in treatment-seeking behaviours for female specific symptoms and to provide timely, appropriate signposting or referral to healthcare partners.</w:t>
      </w:r>
    </w:p>
    <w:p w14:paraId="77213F79"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Any other local examples of good practice in improving diagnoses, waiting times and treatments. </w:t>
      </w:r>
    </w:p>
    <w:p w14:paraId="038617C7" w14:textId="57659DFF" w:rsidR="001F21FA" w:rsidRDefault="004F7E5B" w:rsidP="009426CA">
      <w:pPr>
        <w:pStyle w:val="ListParagraph"/>
        <w:numPr>
          <w:ilvl w:val="0"/>
          <w:numId w:val="13"/>
        </w:numPr>
        <w:rPr>
          <w:rFonts w:ascii="Arial" w:hAnsi="Arial" w:cs="Arial"/>
          <w:sz w:val="20"/>
          <w:szCs w:val="20"/>
        </w:rPr>
      </w:pPr>
      <w:r w:rsidRPr="009426CA">
        <w:rPr>
          <w:rFonts w:ascii="Arial" w:hAnsi="Arial" w:cs="Arial"/>
          <w:sz w:val="20"/>
          <w:szCs w:val="20"/>
        </w:rPr>
        <w:t>The CLOCS-1 study which uses data from pharmacy purchases, captured through loyalty cards, to identify women managing symptoms that may indicate early signs of ovarian cancer. This innovative approach supports earlier detection and intervention, demonstrating how digital tools can enhance population health outcomes and inform targeted care.</w:t>
      </w:r>
      <w:r w:rsidRPr="009426CA">
        <w:rPr>
          <w:rStyle w:val="FootnoteReference"/>
          <w:rFonts w:ascii="Arial" w:hAnsi="Arial" w:cs="Arial"/>
          <w:sz w:val="20"/>
          <w:szCs w:val="20"/>
        </w:rPr>
        <w:footnoteReference w:id="1"/>
      </w:r>
    </w:p>
    <w:p w14:paraId="6B84EE2A" w14:textId="77777777" w:rsidR="009426CA" w:rsidRPr="009426CA" w:rsidRDefault="009426CA" w:rsidP="009426CA">
      <w:pPr>
        <w:pStyle w:val="ListParagraph"/>
        <w:rPr>
          <w:rFonts w:ascii="Arial" w:hAnsi="Arial" w:cs="Arial"/>
          <w:sz w:val="20"/>
          <w:szCs w:val="20"/>
        </w:rPr>
      </w:pPr>
    </w:p>
    <w:p w14:paraId="0E406CDC" w14:textId="59B7A3C8" w:rsidR="00011D43" w:rsidRPr="009426CA" w:rsidRDefault="00011D43" w:rsidP="009426CA">
      <w:pPr>
        <w:pStyle w:val="ListParagraph"/>
        <w:numPr>
          <w:ilvl w:val="0"/>
          <w:numId w:val="13"/>
        </w:numPr>
        <w:rPr>
          <w:rFonts w:ascii="Arial" w:hAnsi="Arial" w:cs="Arial"/>
          <w:sz w:val="20"/>
          <w:szCs w:val="20"/>
        </w:rPr>
      </w:pPr>
      <w:r w:rsidRPr="009426CA">
        <w:rPr>
          <w:rFonts w:ascii="Arial" w:hAnsi="Arial" w:cs="Arial"/>
          <w:sz w:val="20"/>
          <w:szCs w:val="20"/>
        </w:rPr>
        <w:t xml:space="preserve">Scott Brown is a pharmacist accredited and licenced by FSRH to insert contraceptive implants in women on post-natal wards prior to discharge. This is a great example of reduction in waiting times for appointments. Patients do not need to return for contraception advice, effective immediately, no requirement to remember to take oral contraceptives, women can breastfeed and focus on quality time with their newborn. </w:t>
      </w:r>
    </w:p>
    <w:p w14:paraId="518CF3DA"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Knowledge, understanding and empathy in the healthcare sector in relation to the potential impacts of reproductive health conditions on women’s fertility and the provision of quality advice to ensure informed decision-making about treatments. </w:t>
      </w:r>
    </w:p>
    <w:p w14:paraId="3422484F" w14:textId="74497021" w:rsidR="001F21FA" w:rsidRDefault="004F7E5B" w:rsidP="009426CA">
      <w:pPr>
        <w:pStyle w:val="ListParagraph"/>
        <w:numPr>
          <w:ilvl w:val="0"/>
          <w:numId w:val="13"/>
        </w:numPr>
        <w:rPr>
          <w:rFonts w:ascii="Arial" w:hAnsi="Arial" w:cs="Arial"/>
          <w:sz w:val="20"/>
          <w:szCs w:val="20"/>
        </w:rPr>
      </w:pPr>
      <w:r w:rsidRPr="009426CA">
        <w:rPr>
          <w:rFonts w:ascii="Arial" w:hAnsi="Arial" w:cs="Arial"/>
          <w:sz w:val="20"/>
          <w:szCs w:val="20"/>
        </w:rPr>
        <w:lastRenderedPageBreak/>
        <w:t>There are a range of resources available to support education and training of healthcare professionals in the area of women’s health. It would be useful; to pull these together online into one area for easy access.</w:t>
      </w:r>
    </w:p>
    <w:p w14:paraId="6BE8052F" w14:textId="77777777" w:rsidR="009426CA" w:rsidRPr="009426CA" w:rsidRDefault="009426CA" w:rsidP="009426CA">
      <w:pPr>
        <w:pStyle w:val="ListParagraph"/>
        <w:rPr>
          <w:rFonts w:ascii="Arial" w:hAnsi="Arial" w:cs="Arial"/>
          <w:sz w:val="20"/>
          <w:szCs w:val="20"/>
        </w:rPr>
      </w:pPr>
    </w:p>
    <w:p w14:paraId="73491DD3" w14:textId="19D9ACBC" w:rsidR="00011D43" w:rsidRPr="009426CA" w:rsidRDefault="00011D43" w:rsidP="009426CA">
      <w:pPr>
        <w:pStyle w:val="ListParagraph"/>
        <w:numPr>
          <w:ilvl w:val="0"/>
          <w:numId w:val="13"/>
        </w:numPr>
        <w:rPr>
          <w:rFonts w:ascii="Arial" w:hAnsi="Arial" w:cs="Arial"/>
          <w:sz w:val="20"/>
          <w:szCs w:val="20"/>
        </w:rPr>
      </w:pPr>
      <w:r w:rsidRPr="009426CA">
        <w:rPr>
          <w:rFonts w:ascii="Arial" w:hAnsi="Arial" w:cs="Arial"/>
          <w:sz w:val="20"/>
          <w:szCs w:val="20"/>
        </w:rPr>
        <w:t xml:space="preserve">Cultural barriers can impede access to care, with stigma and community attitudes influencing health-seeking behaviour. For example, in the Sikh community, Polycystic Ovary Syndrome (PCOS) may be associated with shame due to its links with infertility, discouraging some women from seeking support. This underlines the need for culturally sensitive approaches to reproductive and sexual health services. Pharmacists are ideally placed within communities to provide accessible, equitable and inclusive women’s health services. </w:t>
      </w:r>
    </w:p>
    <w:p w14:paraId="034B7894"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Addressing racial biases and discriminatory assumptions in the diagnosis, treatment and pain management of women’s reproductive health conditions. </w:t>
      </w:r>
    </w:p>
    <w:p w14:paraId="3175047C" w14:textId="3B900AB8" w:rsidR="00FF460D" w:rsidRPr="009426CA" w:rsidRDefault="6CFB78C1" w:rsidP="009426CA">
      <w:pPr>
        <w:pStyle w:val="ListParagraph"/>
        <w:numPr>
          <w:ilvl w:val="0"/>
          <w:numId w:val="13"/>
        </w:numPr>
        <w:rPr>
          <w:rFonts w:ascii="Arial" w:hAnsi="Arial" w:cs="Arial"/>
          <w:sz w:val="20"/>
          <w:szCs w:val="20"/>
        </w:rPr>
      </w:pPr>
      <w:r w:rsidRPr="009426CA">
        <w:rPr>
          <w:rFonts w:ascii="Arial" w:hAnsi="Arial" w:cs="Arial"/>
          <w:sz w:val="20"/>
          <w:szCs w:val="20"/>
        </w:rPr>
        <w:t>No two women’s experiences, circumstances, or backgrounds are the same. Historic preconceptions and bias in sexual and reproductive healthcare - particularly affecting ethnic minorities, socioeconomically disadvantaged women, those with disabilities, and LGBTQ+ individuals, who see lower uptake of effective contraceptive methods - can undermine counselling and self-advocacy. Younger women and girls may be particularly affected by power dynamics in reproductive healthcare appointments and might not feel empowered to speak up or may not even recognise that bias has occurred.</w:t>
      </w:r>
    </w:p>
    <w:p w14:paraId="79743788"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The potential impacts of the proposed abolition of NHS England on steps being taken to improve girls’ and women’s reproductive health.  </w:t>
      </w:r>
    </w:p>
    <w:p w14:paraId="513878E0" w14:textId="41773929" w:rsidR="00FF460D" w:rsidRPr="009426CA" w:rsidRDefault="6CFB78C1" w:rsidP="009426CA">
      <w:pPr>
        <w:pStyle w:val="ListParagraph"/>
        <w:numPr>
          <w:ilvl w:val="0"/>
          <w:numId w:val="13"/>
        </w:numPr>
        <w:rPr>
          <w:rFonts w:ascii="Arial" w:hAnsi="Arial" w:cs="Arial"/>
          <w:sz w:val="20"/>
          <w:szCs w:val="20"/>
        </w:rPr>
      </w:pPr>
      <w:r w:rsidRPr="009426CA">
        <w:rPr>
          <w:rFonts w:ascii="Arial" w:hAnsi="Arial" w:cs="Arial"/>
          <w:sz w:val="20"/>
          <w:szCs w:val="20"/>
        </w:rPr>
        <w:t>NHSE have been supportive of the roll out of the oral contraception service as part of the community pharmacy contractual framework, ensuring pharmacists are adequately trained and in development of the service specifications. They have also recently commissioned a national service for the appropriate supply of Emergency Hormonal Contraception (EHC) via community pharmacies. With the abolition of NHSE, the expertise required to undertake the development and support of women’s health services to be commissioned nationally via community pharmacies, may be lost.</w:t>
      </w:r>
    </w:p>
    <w:p w14:paraId="7A8356E8" w14:textId="77777777" w:rsidR="00FF460D" w:rsidRPr="009426CA" w:rsidRDefault="00FF460D" w:rsidP="009426CA">
      <w:pPr>
        <w:ind w:left="360"/>
        <w:rPr>
          <w:rFonts w:ascii="Arial" w:hAnsi="Arial" w:cs="Arial"/>
          <w:b/>
          <w:bCs/>
          <w:i/>
          <w:iCs/>
          <w:sz w:val="20"/>
          <w:szCs w:val="20"/>
        </w:rPr>
      </w:pPr>
      <w:r w:rsidRPr="009426CA">
        <w:rPr>
          <w:rFonts w:ascii="Arial" w:hAnsi="Arial" w:cs="Arial"/>
          <w:b/>
          <w:bCs/>
          <w:i/>
          <w:iCs/>
          <w:sz w:val="20"/>
          <w:szCs w:val="20"/>
        </w:rPr>
        <w:t>Potential impact of the10-year Health Plan for England on the treatment of girls’ and women’s reproductive health conditions. </w:t>
      </w:r>
    </w:p>
    <w:p w14:paraId="0538A15F" w14:textId="32C645C3" w:rsidR="00FF460D" w:rsidRDefault="006E024B" w:rsidP="009426CA">
      <w:pPr>
        <w:pStyle w:val="ListParagraph"/>
        <w:numPr>
          <w:ilvl w:val="0"/>
          <w:numId w:val="13"/>
        </w:numPr>
        <w:rPr>
          <w:rFonts w:ascii="Arial" w:hAnsi="Arial" w:cs="Arial"/>
        </w:rPr>
      </w:pPr>
      <w:r w:rsidRPr="009426CA">
        <w:rPr>
          <w:rFonts w:ascii="Arial" w:hAnsi="Arial" w:cs="Arial"/>
          <w:sz w:val="20"/>
          <w:szCs w:val="20"/>
        </w:rPr>
        <w:t>We welcome the Government’s intentions in the 10 Year Health Plan to improve choice and reduce fragmentation in the treatment of girls’ and women’s reproductive health conditions. These commitments have the potential to strengthen access to care and better coordinate services for young women and girls. However, the real impact of the 10 Year Health Plan will depend on implementation.</w:t>
      </w:r>
      <w:r w:rsidRPr="009426CA">
        <w:rPr>
          <w:rFonts w:ascii="Arial" w:hAnsi="Arial" w:cs="Arial"/>
        </w:rPr>
        <w:t xml:space="preserve"> </w:t>
      </w:r>
    </w:p>
    <w:p w14:paraId="3066EAE0" w14:textId="77777777" w:rsidR="009426CA" w:rsidRDefault="009426CA" w:rsidP="009426CA">
      <w:pPr>
        <w:rPr>
          <w:rFonts w:ascii="Arial" w:hAnsi="Arial" w:cs="Arial"/>
        </w:rPr>
      </w:pPr>
    </w:p>
    <w:p w14:paraId="7CC7C580" w14:textId="77777777" w:rsidR="009426CA" w:rsidRDefault="009426CA" w:rsidP="009426CA">
      <w:pPr>
        <w:rPr>
          <w:rFonts w:ascii="Arial" w:hAnsi="Arial" w:cs="Arial"/>
        </w:rPr>
      </w:pPr>
    </w:p>
    <w:p w14:paraId="2B987DEB" w14:textId="77777777" w:rsidR="009426CA" w:rsidRDefault="009426CA" w:rsidP="009426CA">
      <w:pPr>
        <w:rPr>
          <w:rFonts w:ascii="Arial" w:hAnsi="Arial" w:cs="Arial"/>
        </w:rPr>
      </w:pPr>
    </w:p>
    <w:p w14:paraId="2BE9CB45" w14:textId="77777777" w:rsidR="009426CA" w:rsidRDefault="009426CA" w:rsidP="009426CA">
      <w:pPr>
        <w:rPr>
          <w:rFonts w:ascii="Arial" w:hAnsi="Arial" w:cs="Arial"/>
        </w:rPr>
      </w:pPr>
    </w:p>
    <w:p w14:paraId="6D42936D" w14:textId="77777777" w:rsidR="009426CA" w:rsidRDefault="009426CA" w:rsidP="009426CA">
      <w:pPr>
        <w:rPr>
          <w:rFonts w:ascii="Arial" w:hAnsi="Arial" w:cs="Arial"/>
        </w:rPr>
      </w:pPr>
    </w:p>
    <w:p w14:paraId="4A31FEAA" w14:textId="32EB3639" w:rsidR="009426CA" w:rsidRPr="009426CA" w:rsidRDefault="009426CA" w:rsidP="009426CA">
      <w:pPr>
        <w:rPr>
          <w:rFonts w:ascii="Arial" w:hAnsi="Arial" w:cs="Arial"/>
          <w:i/>
          <w:iCs/>
        </w:rPr>
      </w:pPr>
      <w:r w:rsidRPr="009426CA">
        <w:rPr>
          <w:rFonts w:ascii="Arial" w:hAnsi="Arial" w:cs="Arial"/>
          <w:i/>
          <w:iCs/>
        </w:rPr>
        <w:t>September 2025</w:t>
      </w:r>
    </w:p>
    <w:sectPr w:rsidR="009426CA" w:rsidRPr="00942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D272" w14:textId="77777777" w:rsidR="00026AC5" w:rsidRDefault="00026AC5" w:rsidP="004F7E5B">
      <w:pPr>
        <w:spacing w:after="0" w:line="240" w:lineRule="auto"/>
      </w:pPr>
      <w:r>
        <w:separator/>
      </w:r>
    </w:p>
  </w:endnote>
  <w:endnote w:type="continuationSeparator" w:id="0">
    <w:p w14:paraId="398913AD" w14:textId="77777777" w:rsidR="00026AC5" w:rsidRDefault="00026AC5" w:rsidP="004F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8641" w14:textId="77777777" w:rsidR="00026AC5" w:rsidRDefault="00026AC5" w:rsidP="004F7E5B">
      <w:pPr>
        <w:spacing w:after="0" w:line="240" w:lineRule="auto"/>
      </w:pPr>
      <w:r>
        <w:separator/>
      </w:r>
    </w:p>
  </w:footnote>
  <w:footnote w:type="continuationSeparator" w:id="0">
    <w:p w14:paraId="44BC3339" w14:textId="77777777" w:rsidR="00026AC5" w:rsidRDefault="00026AC5" w:rsidP="004F7E5B">
      <w:pPr>
        <w:spacing w:after="0" w:line="240" w:lineRule="auto"/>
      </w:pPr>
      <w:r>
        <w:continuationSeparator/>
      </w:r>
    </w:p>
  </w:footnote>
  <w:footnote w:id="1">
    <w:p w14:paraId="226A281A" w14:textId="6559FB3B" w:rsidR="004F7E5B" w:rsidRDefault="004F7E5B">
      <w:pPr>
        <w:pStyle w:val="FootnoteText"/>
      </w:pPr>
      <w:r>
        <w:rPr>
          <w:rStyle w:val="FootnoteReference"/>
        </w:rPr>
        <w:footnoteRef/>
      </w:r>
      <w:r>
        <w:t xml:space="preserve"> </w:t>
      </w:r>
      <w:r w:rsidRPr="004F7E5B">
        <w:t>https://www.clocsproject.org.uk/clocs-1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5D94"/>
    <w:multiLevelType w:val="multilevel"/>
    <w:tmpl w:val="99B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620DB"/>
    <w:multiLevelType w:val="multilevel"/>
    <w:tmpl w:val="6C7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56939"/>
    <w:multiLevelType w:val="multilevel"/>
    <w:tmpl w:val="F700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1321E"/>
    <w:multiLevelType w:val="multilevel"/>
    <w:tmpl w:val="EAF8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30106"/>
    <w:multiLevelType w:val="multilevel"/>
    <w:tmpl w:val="E0F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717BF"/>
    <w:multiLevelType w:val="hybridMultilevel"/>
    <w:tmpl w:val="112AB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70827"/>
    <w:multiLevelType w:val="multilevel"/>
    <w:tmpl w:val="C26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36360"/>
    <w:multiLevelType w:val="multilevel"/>
    <w:tmpl w:val="38E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E68FF"/>
    <w:multiLevelType w:val="multilevel"/>
    <w:tmpl w:val="A0CE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517F2"/>
    <w:multiLevelType w:val="multilevel"/>
    <w:tmpl w:val="CAAC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33F14"/>
    <w:multiLevelType w:val="multilevel"/>
    <w:tmpl w:val="5AC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A1FD9"/>
    <w:multiLevelType w:val="multilevel"/>
    <w:tmpl w:val="252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B2628"/>
    <w:multiLevelType w:val="multilevel"/>
    <w:tmpl w:val="0E6C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003081">
    <w:abstractNumId w:val="4"/>
  </w:num>
  <w:num w:numId="2" w16cid:durableId="436366802">
    <w:abstractNumId w:val="7"/>
  </w:num>
  <w:num w:numId="3" w16cid:durableId="1364088882">
    <w:abstractNumId w:val="10"/>
  </w:num>
  <w:num w:numId="4" w16cid:durableId="1545482631">
    <w:abstractNumId w:val="3"/>
  </w:num>
  <w:num w:numId="5" w16cid:durableId="1970478899">
    <w:abstractNumId w:val="6"/>
  </w:num>
  <w:num w:numId="6" w16cid:durableId="1789200923">
    <w:abstractNumId w:val="0"/>
  </w:num>
  <w:num w:numId="7" w16cid:durableId="626013570">
    <w:abstractNumId w:val="8"/>
  </w:num>
  <w:num w:numId="8" w16cid:durableId="432432869">
    <w:abstractNumId w:val="11"/>
  </w:num>
  <w:num w:numId="9" w16cid:durableId="375353358">
    <w:abstractNumId w:val="1"/>
  </w:num>
  <w:num w:numId="10" w16cid:durableId="2008442011">
    <w:abstractNumId w:val="2"/>
  </w:num>
  <w:num w:numId="11" w16cid:durableId="728766434">
    <w:abstractNumId w:val="9"/>
  </w:num>
  <w:num w:numId="12" w16cid:durableId="1864517207">
    <w:abstractNumId w:val="12"/>
  </w:num>
  <w:num w:numId="13" w16cid:durableId="1015770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0D"/>
    <w:rsid w:val="00011D43"/>
    <w:rsid w:val="000227BC"/>
    <w:rsid w:val="00026AC5"/>
    <w:rsid w:val="001F21FA"/>
    <w:rsid w:val="0025255B"/>
    <w:rsid w:val="002B0F25"/>
    <w:rsid w:val="0038009B"/>
    <w:rsid w:val="004D4D1E"/>
    <w:rsid w:val="004F7E5B"/>
    <w:rsid w:val="00606BDE"/>
    <w:rsid w:val="006E024B"/>
    <w:rsid w:val="00896EF6"/>
    <w:rsid w:val="009426CA"/>
    <w:rsid w:val="009C7FCC"/>
    <w:rsid w:val="00AB115B"/>
    <w:rsid w:val="00C939B1"/>
    <w:rsid w:val="00E933CB"/>
    <w:rsid w:val="00F36566"/>
    <w:rsid w:val="00FF460D"/>
    <w:rsid w:val="0A7C9F7C"/>
    <w:rsid w:val="4CF1DB0B"/>
    <w:rsid w:val="6CFB78C1"/>
    <w:rsid w:val="758AB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5CDD"/>
  <w15:chartTrackingRefBased/>
  <w15:docId w15:val="{CFDB398F-EE52-4034-B033-2FF156D8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60D"/>
    <w:rPr>
      <w:rFonts w:eastAsiaTheme="majorEastAsia" w:cstheme="majorBidi"/>
      <w:color w:val="272727" w:themeColor="text1" w:themeTint="D8"/>
    </w:rPr>
  </w:style>
  <w:style w:type="paragraph" w:styleId="Title">
    <w:name w:val="Title"/>
    <w:basedOn w:val="Normal"/>
    <w:next w:val="Normal"/>
    <w:link w:val="TitleChar"/>
    <w:uiPriority w:val="10"/>
    <w:qFormat/>
    <w:rsid w:val="00FF4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60D"/>
    <w:pPr>
      <w:spacing w:before="160"/>
      <w:jc w:val="center"/>
    </w:pPr>
    <w:rPr>
      <w:i/>
      <w:iCs/>
      <w:color w:val="404040" w:themeColor="text1" w:themeTint="BF"/>
    </w:rPr>
  </w:style>
  <w:style w:type="character" w:customStyle="1" w:styleId="QuoteChar">
    <w:name w:val="Quote Char"/>
    <w:basedOn w:val="DefaultParagraphFont"/>
    <w:link w:val="Quote"/>
    <w:uiPriority w:val="29"/>
    <w:rsid w:val="00FF460D"/>
    <w:rPr>
      <w:i/>
      <w:iCs/>
      <w:color w:val="404040" w:themeColor="text1" w:themeTint="BF"/>
    </w:rPr>
  </w:style>
  <w:style w:type="paragraph" w:styleId="ListParagraph">
    <w:name w:val="List Paragraph"/>
    <w:basedOn w:val="Normal"/>
    <w:uiPriority w:val="34"/>
    <w:qFormat/>
    <w:rsid w:val="00FF460D"/>
    <w:pPr>
      <w:ind w:left="720"/>
      <w:contextualSpacing/>
    </w:pPr>
  </w:style>
  <w:style w:type="character" w:styleId="IntenseEmphasis">
    <w:name w:val="Intense Emphasis"/>
    <w:basedOn w:val="DefaultParagraphFont"/>
    <w:uiPriority w:val="21"/>
    <w:qFormat/>
    <w:rsid w:val="00FF460D"/>
    <w:rPr>
      <w:i/>
      <w:iCs/>
      <w:color w:val="0F4761" w:themeColor="accent1" w:themeShade="BF"/>
    </w:rPr>
  </w:style>
  <w:style w:type="paragraph" w:styleId="IntenseQuote">
    <w:name w:val="Intense Quote"/>
    <w:basedOn w:val="Normal"/>
    <w:next w:val="Normal"/>
    <w:link w:val="IntenseQuoteChar"/>
    <w:uiPriority w:val="30"/>
    <w:qFormat/>
    <w:rsid w:val="00FF4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60D"/>
    <w:rPr>
      <w:i/>
      <w:iCs/>
      <w:color w:val="0F4761" w:themeColor="accent1" w:themeShade="BF"/>
    </w:rPr>
  </w:style>
  <w:style w:type="character" w:styleId="IntenseReference">
    <w:name w:val="Intense Reference"/>
    <w:basedOn w:val="DefaultParagraphFont"/>
    <w:uiPriority w:val="32"/>
    <w:qFormat/>
    <w:rsid w:val="00FF460D"/>
    <w:rPr>
      <w:b/>
      <w:bCs/>
      <w:smallCaps/>
      <w:color w:val="0F4761" w:themeColor="accent1" w:themeShade="BF"/>
      <w:spacing w:val="5"/>
    </w:rPr>
  </w:style>
  <w:style w:type="paragraph" w:styleId="FootnoteText">
    <w:name w:val="footnote text"/>
    <w:basedOn w:val="Normal"/>
    <w:link w:val="FootnoteTextChar"/>
    <w:uiPriority w:val="99"/>
    <w:semiHidden/>
    <w:unhideWhenUsed/>
    <w:rsid w:val="004F7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E5B"/>
    <w:rPr>
      <w:sz w:val="20"/>
      <w:szCs w:val="20"/>
    </w:rPr>
  </w:style>
  <w:style w:type="character" w:styleId="FootnoteReference">
    <w:name w:val="footnote reference"/>
    <w:basedOn w:val="DefaultParagraphFont"/>
    <w:uiPriority w:val="99"/>
    <w:semiHidden/>
    <w:unhideWhenUsed/>
    <w:rsid w:val="004F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4634">
      <w:bodyDiv w:val="1"/>
      <w:marLeft w:val="0"/>
      <w:marRight w:val="0"/>
      <w:marTop w:val="0"/>
      <w:marBottom w:val="0"/>
      <w:divBdr>
        <w:top w:val="none" w:sz="0" w:space="0" w:color="auto"/>
        <w:left w:val="none" w:sz="0" w:space="0" w:color="auto"/>
        <w:bottom w:val="none" w:sz="0" w:space="0" w:color="auto"/>
        <w:right w:val="none" w:sz="0" w:space="0" w:color="auto"/>
      </w:divBdr>
    </w:div>
    <w:div w:id="480581585">
      <w:bodyDiv w:val="1"/>
      <w:marLeft w:val="0"/>
      <w:marRight w:val="0"/>
      <w:marTop w:val="0"/>
      <w:marBottom w:val="0"/>
      <w:divBdr>
        <w:top w:val="none" w:sz="0" w:space="0" w:color="auto"/>
        <w:left w:val="none" w:sz="0" w:space="0" w:color="auto"/>
        <w:bottom w:val="none" w:sz="0" w:space="0" w:color="auto"/>
        <w:right w:val="none" w:sz="0" w:space="0" w:color="auto"/>
      </w:divBdr>
    </w:div>
    <w:div w:id="584269923">
      <w:bodyDiv w:val="1"/>
      <w:marLeft w:val="0"/>
      <w:marRight w:val="0"/>
      <w:marTop w:val="0"/>
      <w:marBottom w:val="0"/>
      <w:divBdr>
        <w:top w:val="none" w:sz="0" w:space="0" w:color="auto"/>
        <w:left w:val="none" w:sz="0" w:space="0" w:color="auto"/>
        <w:bottom w:val="none" w:sz="0" w:space="0" w:color="auto"/>
        <w:right w:val="none" w:sz="0" w:space="0" w:color="auto"/>
      </w:divBdr>
    </w:div>
    <w:div w:id="626476191">
      <w:bodyDiv w:val="1"/>
      <w:marLeft w:val="0"/>
      <w:marRight w:val="0"/>
      <w:marTop w:val="0"/>
      <w:marBottom w:val="0"/>
      <w:divBdr>
        <w:top w:val="none" w:sz="0" w:space="0" w:color="auto"/>
        <w:left w:val="none" w:sz="0" w:space="0" w:color="auto"/>
        <w:bottom w:val="none" w:sz="0" w:space="0" w:color="auto"/>
        <w:right w:val="none" w:sz="0" w:space="0" w:color="auto"/>
      </w:divBdr>
    </w:div>
    <w:div w:id="1000888704">
      <w:bodyDiv w:val="1"/>
      <w:marLeft w:val="0"/>
      <w:marRight w:val="0"/>
      <w:marTop w:val="0"/>
      <w:marBottom w:val="0"/>
      <w:divBdr>
        <w:top w:val="none" w:sz="0" w:space="0" w:color="auto"/>
        <w:left w:val="none" w:sz="0" w:space="0" w:color="auto"/>
        <w:bottom w:val="none" w:sz="0" w:space="0" w:color="auto"/>
        <w:right w:val="none" w:sz="0" w:space="0" w:color="auto"/>
      </w:divBdr>
      <w:divsChild>
        <w:div w:id="1103036503">
          <w:marLeft w:val="0"/>
          <w:marRight w:val="0"/>
          <w:marTop w:val="0"/>
          <w:marBottom w:val="0"/>
          <w:divBdr>
            <w:top w:val="none" w:sz="0" w:space="0" w:color="auto"/>
            <w:left w:val="none" w:sz="0" w:space="0" w:color="auto"/>
            <w:bottom w:val="none" w:sz="0" w:space="0" w:color="auto"/>
            <w:right w:val="none" w:sz="0" w:space="0" w:color="auto"/>
          </w:divBdr>
        </w:div>
        <w:div w:id="550271">
          <w:marLeft w:val="0"/>
          <w:marRight w:val="0"/>
          <w:marTop w:val="0"/>
          <w:marBottom w:val="0"/>
          <w:divBdr>
            <w:top w:val="none" w:sz="0" w:space="0" w:color="auto"/>
            <w:left w:val="none" w:sz="0" w:space="0" w:color="auto"/>
            <w:bottom w:val="none" w:sz="0" w:space="0" w:color="auto"/>
            <w:right w:val="none" w:sz="0" w:space="0" w:color="auto"/>
          </w:divBdr>
        </w:div>
        <w:div w:id="1644654481">
          <w:marLeft w:val="0"/>
          <w:marRight w:val="0"/>
          <w:marTop w:val="0"/>
          <w:marBottom w:val="0"/>
          <w:divBdr>
            <w:top w:val="none" w:sz="0" w:space="0" w:color="auto"/>
            <w:left w:val="none" w:sz="0" w:space="0" w:color="auto"/>
            <w:bottom w:val="none" w:sz="0" w:space="0" w:color="auto"/>
            <w:right w:val="none" w:sz="0" w:space="0" w:color="auto"/>
          </w:divBdr>
        </w:div>
      </w:divsChild>
    </w:div>
    <w:div w:id="1106995841">
      <w:bodyDiv w:val="1"/>
      <w:marLeft w:val="0"/>
      <w:marRight w:val="0"/>
      <w:marTop w:val="0"/>
      <w:marBottom w:val="0"/>
      <w:divBdr>
        <w:top w:val="none" w:sz="0" w:space="0" w:color="auto"/>
        <w:left w:val="none" w:sz="0" w:space="0" w:color="auto"/>
        <w:bottom w:val="none" w:sz="0" w:space="0" w:color="auto"/>
        <w:right w:val="none" w:sz="0" w:space="0" w:color="auto"/>
      </w:divBdr>
    </w:div>
    <w:div w:id="1123228440">
      <w:bodyDiv w:val="1"/>
      <w:marLeft w:val="0"/>
      <w:marRight w:val="0"/>
      <w:marTop w:val="0"/>
      <w:marBottom w:val="0"/>
      <w:divBdr>
        <w:top w:val="none" w:sz="0" w:space="0" w:color="auto"/>
        <w:left w:val="none" w:sz="0" w:space="0" w:color="auto"/>
        <w:bottom w:val="none" w:sz="0" w:space="0" w:color="auto"/>
        <w:right w:val="none" w:sz="0" w:space="0" w:color="auto"/>
      </w:divBdr>
    </w:div>
    <w:div w:id="1422875444">
      <w:bodyDiv w:val="1"/>
      <w:marLeft w:val="0"/>
      <w:marRight w:val="0"/>
      <w:marTop w:val="0"/>
      <w:marBottom w:val="0"/>
      <w:divBdr>
        <w:top w:val="none" w:sz="0" w:space="0" w:color="auto"/>
        <w:left w:val="none" w:sz="0" w:space="0" w:color="auto"/>
        <w:bottom w:val="none" w:sz="0" w:space="0" w:color="auto"/>
        <w:right w:val="none" w:sz="0" w:space="0" w:color="auto"/>
      </w:divBdr>
    </w:div>
    <w:div w:id="1610307663">
      <w:bodyDiv w:val="1"/>
      <w:marLeft w:val="0"/>
      <w:marRight w:val="0"/>
      <w:marTop w:val="0"/>
      <w:marBottom w:val="0"/>
      <w:divBdr>
        <w:top w:val="none" w:sz="0" w:space="0" w:color="auto"/>
        <w:left w:val="none" w:sz="0" w:space="0" w:color="auto"/>
        <w:bottom w:val="none" w:sz="0" w:space="0" w:color="auto"/>
        <w:right w:val="none" w:sz="0" w:space="0" w:color="auto"/>
      </w:divBdr>
    </w:div>
    <w:div w:id="1670987033">
      <w:bodyDiv w:val="1"/>
      <w:marLeft w:val="0"/>
      <w:marRight w:val="0"/>
      <w:marTop w:val="0"/>
      <w:marBottom w:val="0"/>
      <w:divBdr>
        <w:top w:val="none" w:sz="0" w:space="0" w:color="auto"/>
        <w:left w:val="none" w:sz="0" w:space="0" w:color="auto"/>
        <w:bottom w:val="none" w:sz="0" w:space="0" w:color="auto"/>
        <w:right w:val="none" w:sz="0" w:space="0" w:color="auto"/>
      </w:divBdr>
      <w:divsChild>
        <w:div w:id="1911504831">
          <w:marLeft w:val="0"/>
          <w:marRight w:val="0"/>
          <w:marTop w:val="0"/>
          <w:marBottom w:val="0"/>
          <w:divBdr>
            <w:top w:val="none" w:sz="0" w:space="0" w:color="auto"/>
            <w:left w:val="none" w:sz="0" w:space="0" w:color="auto"/>
            <w:bottom w:val="none" w:sz="0" w:space="0" w:color="auto"/>
            <w:right w:val="none" w:sz="0" w:space="0" w:color="auto"/>
          </w:divBdr>
        </w:div>
        <w:div w:id="688146646">
          <w:marLeft w:val="0"/>
          <w:marRight w:val="0"/>
          <w:marTop w:val="0"/>
          <w:marBottom w:val="0"/>
          <w:divBdr>
            <w:top w:val="none" w:sz="0" w:space="0" w:color="auto"/>
            <w:left w:val="none" w:sz="0" w:space="0" w:color="auto"/>
            <w:bottom w:val="none" w:sz="0" w:space="0" w:color="auto"/>
            <w:right w:val="none" w:sz="0" w:space="0" w:color="auto"/>
          </w:divBdr>
        </w:div>
        <w:div w:id="1186555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D98A-0EA5-4B78-A0AC-78F5E611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4</cp:revision>
  <dcterms:created xsi:type="dcterms:W3CDTF">2025-09-26T08:22:00Z</dcterms:created>
  <dcterms:modified xsi:type="dcterms:W3CDTF">2025-09-26T10:23:00Z</dcterms:modified>
</cp:coreProperties>
</file>